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B375" w14:textId="0A9053FA" w:rsidR="00842797" w:rsidRPr="00071E16" w:rsidRDefault="00842797" w:rsidP="006B045F">
      <w:pPr>
        <w:pStyle w:val="Corp"/>
        <w:spacing w:after="0" w:line="240" w:lineRule="auto"/>
        <w:jc w:val="center"/>
        <w:rPr>
          <w:rFonts w:ascii="Times New Roman" w:eastAsia="Times New Roman" w:hAnsi="Times New Roman" w:cs="Times New Roman"/>
          <w:b/>
          <w:bCs/>
          <w:sz w:val="24"/>
          <w:szCs w:val="24"/>
          <w:lang w:val="ro-RO"/>
        </w:rPr>
      </w:pPr>
      <w:r w:rsidRPr="00071E16">
        <w:rPr>
          <w:rFonts w:ascii="Times New Roman" w:hAnsi="Times New Roman" w:cs="Times New Roman"/>
          <w:b/>
          <w:bCs/>
          <w:sz w:val="24"/>
          <w:szCs w:val="24"/>
          <w:lang w:val="ro-RO"/>
        </w:rPr>
        <w:t>PARLAMENTUL ROMÂNIEI</w:t>
      </w:r>
    </w:p>
    <w:p w14:paraId="5D9A66F2" w14:textId="77777777" w:rsidR="00842797" w:rsidRPr="00071E16" w:rsidRDefault="00842797" w:rsidP="006B045F">
      <w:pPr>
        <w:pStyle w:val="Corp"/>
        <w:spacing w:after="0" w:line="240" w:lineRule="auto"/>
        <w:jc w:val="center"/>
        <w:rPr>
          <w:rFonts w:ascii="Times New Roman" w:eastAsia="Times New Roman" w:hAnsi="Times New Roman" w:cs="Times New Roman"/>
          <w:sz w:val="24"/>
          <w:szCs w:val="24"/>
          <w:lang w:val="ro-RO"/>
        </w:rPr>
      </w:pPr>
      <w:r w:rsidRPr="00071E16">
        <w:rPr>
          <w:rFonts w:ascii="Times New Roman" w:eastAsia="Times New Roman" w:hAnsi="Times New Roman" w:cs="Times New Roman"/>
          <w:noProof/>
          <w:sz w:val="24"/>
          <w:szCs w:val="24"/>
          <w:lang w:val="ro-RO" w:eastAsia="en-US"/>
        </w:rPr>
        <w:drawing>
          <wp:inline distT="0" distB="0" distL="0" distR="0" wp14:anchorId="0632D2EB" wp14:editId="66D2257C">
            <wp:extent cx="539750" cy="691516"/>
            <wp:effectExtent l="0" t="0" r="0" b="0"/>
            <wp:docPr id="1073741825" name="officeArt object" descr="image002"/>
            <wp:cNvGraphicFramePr/>
            <a:graphic xmlns:a="http://schemas.openxmlformats.org/drawingml/2006/main">
              <a:graphicData uri="http://schemas.openxmlformats.org/drawingml/2006/picture">
                <pic:pic xmlns:pic="http://schemas.openxmlformats.org/drawingml/2006/picture">
                  <pic:nvPicPr>
                    <pic:cNvPr id="1073741825" name="image002" descr="image002"/>
                    <pic:cNvPicPr>
                      <a:picLocks noChangeAspect="1"/>
                    </pic:cNvPicPr>
                  </pic:nvPicPr>
                  <pic:blipFill>
                    <a:blip r:embed="rId8"/>
                    <a:stretch>
                      <a:fillRect/>
                    </a:stretch>
                  </pic:blipFill>
                  <pic:spPr>
                    <a:xfrm>
                      <a:off x="0" y="0"/>
                      <a:ext cx="539750" cy="691516"/>
                    </a:xfrm>
                    <a:prstGeom prst="rect">
                      <a:avLst/>
                    </a:prstGeom>
                    <a:ln w="12700" cap="flat">
                      <a:noFill/>
                      <a:miter lim="400000"/>
                    </a:ln>
                    <a:effectLst/>
                  </pic:spPr>
                </pic:pic>
              </a:graphicData>
            </a:graphic>
          </wp:inline>
        </w:drawing>
      </w:r>
    </w:p>
    <w:p w14:paraId="076C2AC8" w14:textId="77777777" w:rsidR="00842797" w:rsidRPr="00071E16" w:rsidRDefault="00842797" w:rsidP="006B045F">
      <w:pPr>
        <w:pStyle w:val="Corp"/>
        <w:spacing w:after="0" w:line="240" w:lineRule="auto"/>
        <w:jc w:val="center"/>
        <w:rPr>
          <w:rFonts w:ascii="Times New Roman" w:eastAsia="Times New Roman" w:hAnsi="Times New Roman" w:cs="Times New Roman"/>
          <w:b/>
          <w:bCs/>
          <w:i/>
          <w:iCs/>
          <w:sz w:val="24"/>
          <w:szCs w:val="24"/>
          <w:lang w:val="ro-RO"/>
        </w:rPr>
      </w:pPr>
      <w:r w:rsidRPr="00071E16">
        <w:rPr>
          <w:rFonts w:ascii="Times New Roman" w:hAnsi="Times New Roman" w:cs="Times New Roman"/>
          <w:b/>
          <w:bCs/>
          <w:i/>
          <w:iCs/>
          <w:sz w:val="24"/>
          <w:szCs w:val="24"/>
          <w:lang w:val="ro-RO"/>
        </w:rPr>
        <w:t>Comisia pentru politică externă</w:t>
      </w:r>
    </w:p>
    <w:p w14:paraId="5BB1FE77" w14:textId="74D109CE" w:rsidR="00842797" w:rsidRPr="00071E16" w:rsidRDefault="00842797" w:rsidP="006B045F">
      <w:pPr>
        <w:pStyle w:val="Corp"/>
        <w:spacing w:after="0" w:line="240" w:lineRule="auto"/>
        <w:ind w:left="5760"/>
        <w:jc w:val="both"/>
        <w:rPr>
          <w:rFonts w:ascii="Times New Roman" w:eastAsia="Times New Roman" w:hAnsi="Times New Roman" w:cs="Times New Roman"/>
          <w:sz w:val="24"/>
          <w:szCs w:val="24"/>
          <w:lang w:val="ro-RO"/>
        </w:rPr>
      </w:pPr>
      <w:r w:rsidRPr="00071E16">
        <w:rPr>
          <w:rFonts w:ascii="Times New Roman" w:hAnsi="Times New Roman" w:cs="Times New Roman"/>
          <w:sz w:val="24"/>
          <w:szCs w:val="24"/>
          <w:lang w:val="ro-RO"/>
        </w:rPr>
        <w:t xml:space="preserve">               </w:t>
      </w:r>
    </w:p>
    <w:p w14:paraId="2B888FD6" w14:textId="77777777" w:rsidR="00A00BD3" w:rsidRPr="00071E16" w:rsidRDefault="00A00BD3" w:rsidP="002E1020">
      <w:pPr>
        <w:pStyle w:val="Corp"/>
        <w:spacing w:after="0" w:line="240" w:lineRule="auto"/>
        <w:rPr>
          <w:rFonts w:ascii="Times New Roman" w:hAnsi="Times New Roman" w:cs="Times New Roman"/>
          <w:b/>
          <w:bCs/>
          <w:sz w:val="24"/>
          <w:szCs w:val="24"/>
          <w:lang w:val="ro-RO"/>
        </w:rPr>
      </w:pPr>
    </w:p>
    <w:p w14:paraId="567C03D4" w14:textId="66B80C53" w:rsidR="00842797" w:rsidRPr="00071E16" w:rsidRDefault="00DD018D" w:rsidP="006B045F">
      <w:pPr>
        <w:pStyle w:val="Corp"/>
        <w:spacing w:after="0" w:line="240" w:lineRule="auto"/>
        <w:jc w:val="center"/>
        <w:rPr>
          <w:rFonts w:ascii="Times New Roman" w:hAnsi="Times New Roman" w:cs="Times New Roman"/>
          <w:b/>
          <w:bCs/>
          <w:sz w:val="24"/>
          <w:szCs w:val="24"/>
          <w:lang w:val="ro-RO"/>
        </w:rPr>
      </w:pPr>
      <w:r w:rsidRPr="00071E16">
        <w:rPr>
          <w:rFonts w:ascii="Times New Roman" w:hAnsi="Times New Roman" w:cs="Times New Roman"/>
          <w:b/>
          <w:bCs/>
          <w:sz w:val="24"/>
          <w:szCs w:val="24"/>
          <w:lang w:val="ro-RO"/>
        </w:rPr>
        <w:t>SINTEZA</w:t>
      </w:r>
    </w:p>
    <w:p w14:paraId="30C6853D" w14:textId="5FB28CF4" w:rsidR="00DD018D" w:rsidRPr="00071E16" w:rsidRDefault="00DD018D" w:rsidP="006B045F">
      <w:pPr>
        <w:pStyle w:val="Corp"/>
        <w:spacing w:after="0" w:line="240" w:lineRule="auto"/>
        <w:jc w:val="center"/>
        <w:rPr>
          <w:rFonts w:ascii="Times New Roman" w:eastAsia="Times New Roman" w:hAnsi="Times New Roman" w:cs="Times New Roman"/>
          <w:b/>
          <w:bCs/>
          <w:sz w:val="24"/>
          <w:szCs w:val="24"/>
          <w:lang w:val="ro-RO"/>
        </w:rPr>
      </w:pPr>
      <w:r w:rsidRPr="00071E16">
        <w:rPr>
          <w:rFonts w:ascii="Times New Roman" w:hAnsi="Times New Roman" w:cs="Times New Roman"/>
          <w:b/>
          <w:bCs/>
          <w:sz w:val="24"/>
          <w:szCs w:val="24"/>
          <w:lang w:val="ro-RO"/>
        </w:rPr>
        <w:t>lucrărilor Comisiei pentru politică externă</w:t>
      </w:r>
    </w:p>
    <w:p w14:paraId="6EABCBBB" w14:textId="7C7009BD" w:rsidR="00842797" w:rsidRPr="00071E16" w:rsidRDefault="00842797" w:rsidP="006B045F">
      <w:pPr>
        <w:pStyle w:val="Corp"/>
        <w:tabs>
          <w:tab w:val="left" w:pos="5760"/>
        </w:tabs>
        <w:spacing w:after="0" w:line="240" w:lineRule="auto"/>
        <w:jc w:val="center"/>
        <w:rPr>
          <w:rFonts w:ascii="Times New Roman" w:hAnsi="Times New Roman" w:cs="Times New Roman"/>
          <w:b/>
          <w:bCs/>
          <w:sz w:val="24"/>
          <w:szCs w:val="24"/>
          <w:lang w:val="ro-RO"/>
        </w:rPr>
      </w:pPr>
      <w:r w:rsidRPr="00071E16">
        <w:rPr>
          <w:rFonts w:ascii="Times New Roman" w:hAnsi="Times New Roman" w:cs="Times New Roman"/>
          <w:b/>
          <w:bCs/>
          <w:sz w:val="24"/>
          <w:szCs w:val="24"/>
          <w:lang w:val="ro-RO"/>
        </w:rPr>
        <w:t>din</w:t>
      </w:r>
      <w:r w:rsidR="00DD018D" w:rsidRPr="00071E16">
        <w:rPr>
          <w:rFonts w:ascii="Times New Roman" w:hAnsi="Times New Roman" w:cs="Times New Roman"/>
          <w:b/>
          <w:bCs/>
          <w:sz w:val="24"/>
          <w:szCs w:val="24"/>
          <w:lang w:val="ro-RO"/>
        </w:rPr>
        <w:t xml:space="preserve"> ziua de</w:t>
      </w:r>
      <w:r w:rsidRPr="00071E16">
        <w:rPr>
          <w:rFonts w:ascii="Times New Roman" w:hAnsi="Times New Roman" w:cs="Times New Roman"/>
          <w:b/>
          <w:bCs/>
          <w:sz w:val="24"/>
          <w:szCs w:val="24"/>
          <w:lang w:val="ro-RO"/>
        </w:rPr>
        <w:t xml:space="preserve"> </w:t>
      </w:r>
      <w:r w:rsidR="006F7A8A">
        <w:rPr>
          <w:rFonts w:ascii="Times New Roman" w:hAnsi="Times New Roman" w:cs="Times New Roman"/>
          <w:b/>
          <w:bCs/>
          <w:sz w:val="24"/>
          <w:szCs w:val="24"/>
          <w:lang w:val="ro-RO"/>
        </w:rPr>
        <w:t>18</w:t>
      </w:r>
      <w:r w:rsidRPr="00071E16">
        <w:rPr>
          <w:rFonts w:ascii="Times New Roman" w:hAnsi="Times New Roman" w:cs="Times New Roman"/>
          <w:b/>
          <w:bCs/>
          <w:sz w:val="24"/>
          <w:szCs w:val="24"/>
          <w:lang w:val="ro-RO"/>
        </w:rPr>
        <w:t xml:space="preserve"> </w:t>
      </w:r>
      <w:r w:rsidR="00B300FC">
        <w:rPr>
          <w:rFonts w:ascii="Times New Roman" w:hAnsi="Times New Roman" w:cs="Times New Roman"/>
          <w:b/>
          <w:bCs/>
          <w:sz w:val="24"/>
          <w:szCs w:val="24"/>
          <w:lang w:val="ro-RO"/>
        </w:rPr>
        <w:t>n</w:t>
      </w:r>
      <w:r w:rsidR="00F4108F" w:rsidRPr="00071E16">
        <w:rPr>
          <w:rFonts w:ascii="Times New Roman" w:hAnsi="Times New Roman" w:cs="Times New Roman"/>
          <w:b/>
          <w:bCs/>
          <w:sz w:val="24"/>
          <w:szCs w:val="24"/>
          <w:lang w:val="ro-RO"/>
        </w:rPr>
        <w:t>o</w:t>
      </w:r>
      <w:r w:rsidR="00B300FC">
        <w:rPr>
          <w:rFonts w:ascii="Times New Roman" w:hAnsi="Times New Roman" w:cs="Times New Roman"/>
          <w:b/>
          <w:bCs/>
          <w:sz w:val="24"/>
          <w:szCs w:val="24"/>
          <w:lang w:val="ro-RO"/>
        </w:rPr>
        <w:t>ie</w:t>
      </w:r>
      <w:r w:rsidR="00A12F01" w:rsidRPr="00071E16">
        <w:rPr>
          <w:rFonts w:ascii="Times New Roman" w:hAnsi="Times New Roman" w:cs="Times New Roman"/>
          <w:b/>
          <w:bCs/>
          <w:sz w:val="24"/>
          <w:szCs w:val="24"/>
          <w:lang w:val="ro-RO"/>
        </w:rPr>
        <w:t xml:space="preserve">mbrie </w:t>
      </w:r>
      <w:r w:rsidRPr="00071E16">
        <w:rPr>
          <w:rFonts w:ascii="Times New Roman" w:hAnsi="Times New Roman" w:cs="Times New Roman"/>
          <w:b/>
          <w:bCs/>
          <w:sz w:val="24"/>
          <w:szCs w:val="24"/>
          <w:lang w:val="ro-RO"/>
        </w:rPr>
        <w:t xml:space="preserve">2025, orele </w:t>
      </w:r>
      <w:r w:rsidR="00F4108F" w:rsidRPr="00071E16">
        <w:rPr>
          <w:rFonts w:ascii="Times New Roman" w:hAnsi="Times New Roman" w:cs="Times New Roman"/>
          <w:b/>
          <w:bCs/>
          <w:sz w:val="24"/>
          <w:szCs w:val="24"/>
          <w:lang w:val="ro-RO"/>
        </w:rPr>
        <w:t>10</w:t>
      </w:r>
      <w:r w:rsidRPr="00071E16">
        <w:rPr>
          <w:rFonts w:ascii="Times New Roman" w:hAnsi="Times New Roman" w:cs="Times New Roman"/>
          <w:b/>
          <w:bCs/>
          <w:sz w:val="24"/>
          <w:szCs w:val="24"/>
          <w:lang w:val="ro-RO"/>
        </w:rPr>
        <w:t>:</w:t>
      </w:r>
      <w:r w:rsidR="004C2A43" w:rsidRPr="00071E16">
        <w:rPr>
          <w:rFonts w:ascii="Times New Roman" w:hAnsi="Times New Roman" w:cs="Times New Roman"/>
          <w:b/>
          <w:bCs/>
          <w:sz w:val="24"/>
          <w:szCs w:val="24"/>
          <w:lang w:val="ro-RO"/>
        </w:rPr>
        <w:t>0</w:t>
      </w:r>
      <w:r w:rsidRPr="00071E16">
        <w:rPr>
          <w:rFonts w:ascii="Times New Roman" w:hAnsi="Times New Roman" w:cs="Times New Roman"/>
          <w:b/>
          <w:bCs/>
          <w:sz w:val="24"/>
          <w:szCs w:val="24"/>
          <w:lang w:val="ro-RO"/>
        </w:rPr>
        <w:t>0</w:t>
      </w:r>
    </w:p>
    <w:p w14:paraId="4FB3BE77" w14:textId="77777777" w:rsidR="00842797" w:rsidRPr="00071E16" w:rsidRDefault="00842797" w:rsidP="006B045F">
      <w:pPr>
        <w:pStyle w:val="Corp"/>
        <w:tabs>
          <w:tab w:val="left" w:pos="567"/>
        </w:tabs>
        <w:spacing w:after="0" w:line="240" w:lineRule="auto"/>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ab/>
      </w:r>
    </w:p>
    <w:p w14:paraId="4DF580A6" w14:textId="76B664FD" w:rsidR="00DD018D" w:rsidRPr="00071E16" w:rsidRDefault="00DD018D" w:rsidP="00DD018D">
      <w:pPr>
        <w:pStyle w:val="Corp"/>
        <w:tabs>
          <w:tab w:val="left" w:pos="567"/>
        </w:tabs>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 xml:space="preserve">Comisia pentru politică externă </w:t>
      </w:r>
      <w:proofErr w:type="spellStart"/>
      <w:r w:rsidRPr="00071E16">
        <w:rPr>
          <w:rFonts w:ascii="Times New Roman" w:eastAsia="Times New Roman" w:hAnsi="Times New Roman" w:cs="Times New Roman"/>
          <w:sz w:val="24"/>
          <w:szCs w:val="24"/>
          <w:lang w:val="ro-RO"/>
        </w:rPr>
        <w:t>şi</w:t>
      </w:r>
      <w:proofErr w:type="spellEnd"/>
      <w:r w:rsidRPr="00071E16">
        <w:rPr>
          <w:rFonts w:ascii="Times New Roman" w:eastAsia="Times New Roman" w:hAnsi="Times New Roman" w:cs="Times New Roman"/>
          <w:sz w:val="24"/>
          <w:szCs w:val="24"/>
          <w:lang w:val="ro-RO"/>
        </w:rPr>
        <w:t xml:space="preserve">-a </w:t>
      </w:r>
      <w:proofErr w:type="spellStart"/>
      <w:r w:rsidRPr="00071E16">
        <w:rPr>
          <w:rFonts w:ascii="Times New Roman" w:eastAsia="Times New Roman" w:hAnsi="Times New Roman" w:cs="Times New Roman"/>
          <w:sz w:val="24"/>
          <w:szCs w:val="24"/>
          <w:lang w:val="ro-RO"/>
        </w:rPr>
        <w:t>desfăşurat</w:t>
      </w:r>
      <w:proofErr w:type="spellEnd"/>
      <w:r w:rsidRPr="00071E16">
        <w:rPr>
          <w:rFonts w:ascii="Times New Roman" w:eastAsia="Times New Roman" w:hAnsi="Times New Roman" w:cs="Times New Roman"/>
          <w:sz w:val="24"/>
          <w:szCs w:val="24"/>
          <w:lang w:val="ro-RO"/>
        </w:rPr>
        <w:t xml:space="preserve"> lucrările în ziua de </w:t>
      </w:r>
      <w:r w:rsidR="006F7A8A">
        <w:rPr>
          <w:rFonts w:ascii="Times New Roman" w:eastAsia="Times New Roman" w:hAnsi="Times New Roman" w:cs="Times New Roman"/>
          <w:sz w:val="24"/>
          <w:szCs w:val="24"/>
          <w:lang w:val="ro-RO"/>
        </w:rPr>
        <w:t>18</w:t>
      </w:r>
      <w:r w:rsidRPr="00071E16">
        <w:rPr>
          <w:rFonts w:ascii="Times New Roman" w:eastAsia="Times New Roman" w:hAnsi="Times New Roman" w:cs="Times New Roman"/>
          <w:sz w:val="24"/>
          <w:szCs w:val="24"/>
          <w:lang w:val="ro-RO"/>
        </w:rPr>
        <w:t xml:space="preserve"> </w:t>
      </w:r>
      <w:r w:rsidR="00B300FC">
        <w:rPr>
          <w:rFonts w:ascii="Times New Roman" w:eastAsia="Times New Roman" w:hAnsi="Times New Roman" w:cs="Times New Roman"/>
          <w:sz w:val="24"/>
          <w:szCs w:val="24"/>
          <w:lang w:val="ro-RO"/>
        </w:rPr>
        <w:t>n</w:t>
      </w:r>
      <w:r w:rsidR="00F4108F" w:rsidRPr="00071E16">
        <w:rPr>
          <w:rFonts w:ascii="Times New Roman" w:eastAsia="Times New Roman" w:hAnsi="Times New Roman" w:cs="Times New Roman"/>
          <w:sz w:val="24"/>
          <w:szCs w:val="24"/>
          <w:lang w:val="ro-RO"/>
        </w:rPr>
        <w:t>o</w:t>
      </w:r>
      <w:r w:rsidR="00B300FC">
        <w:rPr>
          <w:rFonts w:ascii="Times New Roman" w:eastAsia="Times New Roman" w:hAnsi="Times New Roman" w:cs="Times New Roman"/>
          <w:sz w:val="24"/>
          <w:szCs w:val="24"/>
          <w:lang w:val="ro-RO"/>
        </w:rPr>
        <w:t>ie</w:t>
      </w:r>
      <w:r w:rsidR="00C4566A" w:rsidRPr="00071E16">
        <w:rPr>
          <w:rFonts w:ascii="Times New Roman" w:eastAsia="Times New Roman" w:hAnsi="Times New Roman" w:cs="Times New Roman"/>
          <w:sz w:val="24"/>
          <w:szCs w:val="24"/>
          <w:lang w:val="ro-RO"/>
        </w:rPr>
        <w:t>mbrie</w:t>
      </w:r>
      <w:r w:rsidRPr="00071E16">
        <w:rPr>
          <w:rFonts w:ascii="Times New Roman" w:eastAsia="Times New Roman" w:hAnsi="Times New Roman" w:cs="Times New Roman"/>
          <w:sz w:val="24"/>
          <w:szCs w:val="24"/>
          <w:lang w:val="ro-RO"/>
        </w:rPr>
        <w:t xml:space="preserve"> 2025</w:t>
      </w:r>
      <w:r w:rsidR="00855956" w:rsidRPr="00071E16">
        <w:rPr>
          <w:rFonts w:ascii="Times New Roman" w:eastAsia="Times New Roman" w:hAnsi="Times New Roman" w:cs="Times New Roman"/>
          <w:sz w:val="24"/>
          <w:szCs w:val="24"/>
          <w:lang w:val="ro-RO"/>
        </w:rPr>
        <w:t>.</w:t>
      </w:r>
    </w:p>
    <w:p w14:paraId="041BE1AA" w14:textId="6E496290" w:rsidR="00DD018D" w:rsidRPr="00071E16" w:rsidRDefault="006A5E33" w:rsidP="00DD018D">
      <w:pPr>
        <w:pStyle w:val="Corp"/>
        <w:tabs>
          <w:tab w:val="left" w:pos="567"/>
        </w:tabs>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Ș</w:t>
      </w:r>
      <w:r w:rsidR="00DD018D" w:rsidRPr="00071E16">
        <w:rPr>
          <w:rFonts w:ascii="Times New Roman" w:eastAsia="Times New Roman" w:hAnsi="Times New Roman" w:cs="Times New Roman"/>
          <w:sz w:val="24"/>
          <w:szCs w:val="24"/>
          <w:lang w:val="ro-RO"/>
        </w:rPr>
        <w:t xml:space="preserve">edința s-a desfășurat în sistem mixt, începând cu ora </w:t>
      </w:r>
      <w:r w:rsidR="00F4108F" w:rsidRPr="00071E16">
        <w:rPr>
          <w:rFonts w:ascii="Times New Roman" w:eastAsia="Times New Roman" w:hAnsi="Times New Roman" w:cs="Times New Roman"/>
          <w:sz w:val="24"/>
          <w:szCs w:val="24"/>
          <w:lang w:val="ro-RO"/>
        </w:rPr>
        <w:t>10</w:t>
      </w:r>
      <w:r w:rsidR="00DD018D" w:rsidRPr="00071E16">
        <w:rPr>
          <w:rFonts w:ascii="Times New Roman" w:eastAsia="Times New Roman" w:hAnsi="Times New Roman" w:cs="Times New Roman"/>
          <w:sz w:val="24"/>
          <w:szCs w:val="24"/>
          <w:lang w:val="ro-RO"/>
        </w:rPr>
        <w:t>:</w:t>
      </w:r>
      <w:r w:rsidR="004C2A43" w:rsidRPr="00071E16">
        <w:rPr>
          <w:rFonts w:ascii="Times New Roman" w:eastAsia="Times New Roman" w:hAnsi="Times New Roman" w:cs="Times New Roman"/>
          <w:sz w:val="24"/>
          <w:szCs w:val="24"/>
          <w:lang w:val="ro-RO"/>
        </w:rPr>
        <w:t>0</w:t>
      </w:r>
      <w:r w:rsidR="00DD018D" w:rsidRPr="00071E16">
        <w:rPr>
          <w:rFonts w:ascii="Times New Roman" w:eastAsia="Times New Roman" w:hAnsi="Times New Roman" w:cs="Times New Roman"/>
          <w:sz w:val="24"/>
          <w:szCs w:val="24"/>
          <w:lang w:val="ro-RO"/>
        </w:rPr>
        <w:t>0.</w:t>
      </w:r>
    </w:p>
    <w:p w14:paraId="61137E0C" w14:textId="0734C12D" w:rsidR="001B2D35" w:rsidRPr="00071E16" w:rsidRDefault="00071E16" w:rsidP="001B2D35">
      <w:pPr>
        <w:pStyle w:val="Corp"/>
        <w:tabs>
          <w:tab w:val="left" w:pos="567"/>
        </w:tabs>
        <w:spacing w:before="120" w:after="0" w:line="240" w:lineRule="auto"/>
        <w:jc w:val="both"/>
        <w:rPr>
          <w:rFonts w:ascii="Times New Roman" w:hAnsi="Times New Roman" w:cs="Times New Roman"/>
          <w:sz w:val="24"/>
          <w:szCs w:val="24"/>
          <w:bdr w:val="none" w:sz="0" w:space="0" w:color="auto"/>
          <w:lang w:val="ro-RO"/>
        </w:rPr>
      </w:pPr>
      <w:r w:rsidRPr="00071E16">
        <w:rPr>
          <w:rFonts w:ascii="Times New Roman" w:hAnsi="Times New Roman" w:cs="Times New Roman"/>
          <w:sz w:val="24"/>
          <w:szCs w:val="24"/>
          <w:lang w:val="ro-RO"/>
        </w:rPr>
        <w:t>A</w:t>
      </w:r>
      <w:r w:rsidR="001B2D35" w:rsidRPr="00071E16">
        <w:rPr>
          <w:rFonts w:ascii="Times New Roman" w:hAnsi="Times New Roman" w:cs="Times New Roman"/>
          <w:sz w:val="24"/>
          <w:szCs w:val="24"/>
          <w:lang w:val="ro-RO"/>
        </w:rPr>
        <w:t xml:space="preserve">u participat: </w:t>
      </w:r>
    </w:p>
    <w:p w14:paraId="6FFBEB80" w14:textId="1DC0BC7A" w:rsidR="001622F1" w:rsidRPr="00071E16" w:rsidRDefault="001622F1" w:rsidP="001622F1">
      <w:pPr>
        <w:pStyle w:val="Corp"/>
        <w:tabs>
          <w:tab w:val="left" w:pos="567"/>
        </w:tabs>
        <w:spacing w:before="120"/>
        <w:jc w:val="both"/>
        <w:rPr>
          <w:rFonts w:ascii="Times New Roman" w:hAnsi="Times New Roman" w:cs="Times New Roman"/>
          <w:sz w:val="24"/>
          <w:szCs w:val="24"/>
          <w:lang w:val="ro-RO"/>
        </w:rPr>
      </w:pPr>
      <w:r w:rsidRPr="00071E16">
        <w:rPr>
          <w:rFonts w:ascii="Times New Roman" w:hAnsi="Times New Roman" w:cs="Times New Roman"/>
          <w:sz w:val="24"/>
          <w:szCs w:val="24"/>
          <w:lang w:val="ro-RO"/>
        </w:rPr>
        <w:t>În format fizic:</w:t>
      </w:r>
      <w:r w:rsidR="00E23589" w:rsidRPr="00E23589">
        <w:rPr>
          <w:rFonts w:ascii="Times New Roman" w:hAnsi="Times New Roman" w:cs="Times New Roman"/>
          <w:sz w:val="24"/>
          <w:szCs w:val="24"/>
          <w:lang w:val="ro-RO"/>
        </w:rPr>
        <w:t xml:space="preserve"> </w:t>
      </w:r>
      <w:bookmarkStart w:id="0" w:name="_Hlk211872161"/>
      <w:r w:rsidR="00694EC6">
        <w:rPr>
          <w:rFonts w:ascii="Times New Roman" w:hAnsi="Times New Roman" w:cs="Times New Roman"/>
          <w:sz w:val="24"/>
          <w:szCs w:val="24"/>
          <w:lang w:val="ro-RO"/>
        </w:rPr>
        <w:t xml:space="preserve">dl. </w:t>
      </w:r>
      <w:r w:rsidR="00694EC6">
        <w:rPr>
          <w:rFonts w:ascii="Times New Roman" w:hAnsi="Times New Roman" w:cs="Times New Roman"/>
          <w:color w:val="auto"/>
          <w:sz w:val="24"/>
          <w:szCs w:val="24"/>
          <w:lang w:val="ro-RO"/>
        </w:rPr>
        <w:t xml:space="preserve">senator  Titus </w:t>
      </w:r>
      <w:proofErr w:type="spellStart"/>
      <w:r w:rsidR="00694EC6">
        <w:rPr>
          <w:rFonts w:ascii="Times New Roman" w:hAnsi="Times New Roman" w:cs="Times New Roman"/>
          <w:color w:val="auto"/>
          <w:sz w:val="24"/>
          <w:szCs w:val="24"/>
          <w:lang w:val="ro-RO"/>
        </w:rPr>
        <w:t>Corlăţean</w:t>
      </w:r>
      <w:proofErr w:type="spellEnd"/>
      <w:r w:rsidR="00694EC6">
        <w:rPr>
          <w:rFonts w:ascii="Times New Roman" w:hAnsi="Times New Roman" w:cs="Times New Roman"/>
          <w:color w:val="auto"/>
          <w:sz w:val="24"/>
          <w:szCs w:val="24"/>
          <w:lang w:val="ro-RO"/>
        </w:rPr>
        <w:t xml:space="preserve"> – președinte, dl. senator Sorin Lavric – vicepreședinte, dl. senator Clement Sava – secretar dl. senator Adrian Streinu Cercel, dna. senator Carmen Orban, dna. senator </w:t>
      </w:r>
      <w:r w:rsidR="00694EC6" w:rsidRPr="00835519">
        <w:rPr>
          <w:rFonts w:ascii="Times New Roman" w:hAnsi="Times New Roman" w:cs="Times New Roman"/>
          <w:color w:val="auto"/>
          <w:sz w:val="24"/>
          <w:szCs w:val="24"/>
          <w:lang w:val="ro-RO"/>
        </w:rPr>
        <w:t>Cristina-</w:t>
      </w:r>
      <w:proofErr w:type="spellStart"/>
      <w:r w:rsidR="00694EC6" w:rsidRPr="00835519">
        <w:rPr>
          <w:rFonts w:ascii="Times New Roman" w:hAnsi="Times New Roman" w:cs="Times New Roman"/>
          <w:color w:val="auto"/>
          <w:sz w:val="24"/>
          <w:szCs w:val="24"/>
          <w:lang w:val="ro-RO"/>
        </w:rPr>
        <w:t>Gabriella</w:t>
      </w:r>
      <w:proofErr w:type="spellEnd"/>
      <w:r w:rsidR="00694EC6">
        <w:rPr>
          <w:rFonts w:ascii="Times New Roman" w:hAnsi="Times New Roman" w:cs="Times New Roman"/>
          <w:color w:val="auto"/>
          <w:sz w:val="24"/>
          <w:szCs w:val="24"/>
          <w:lang w:val="ro-RO"/>
        </w:rPr>
        <w:t xml:space="preserve"> D</w:t>
      </w:r>
      <w:r w:rsidR="00694EC6" w:rsidRPr="00835519">
        <w:rPr>
          <w:rFonts w:ascii="Times New Roman" w:hAnsi="Times New Roman" w:cs="Times New Roman"/>
          <w:color w:val="auto"/>
          <w:sz w:val="24"/>
          <w:szCs w:val="24"/>
          <w:lang w:val="ro-RO"/>
        </w:rPr>
        <w:t>umitrescu</w:t>
      </w:r>
      <w:r w:rsidR="00694EC6">
        <w:rPr>
          <w:rFonts w:ascii="Times New Roman" w:hAnsi="Times New Roman" w:cs="Times New Roman"/>
          <w:color w:val="auto"/>
          <w:sz w:val="24"/>
          <w:szCs w:val="24"/>
          <w:lang w:val="ro-RO"/>
        </w:rPr>
        <w:t xml:space="preserve">, dl. senator Andrei </w:t>
      </w:r>
      <w:proofErr w:type="spellStart"/>
      <w:r w:rsidR="00694EC6">
        <w:rPr>
          <w:rFonts w:ascii="Times New Roman" w:hAnsi="Times New Roman" w:cs="Times New Roman"/>
          <w:color w:val="auto"/>
          <w:sz w:val="24"/>
          <w:szCs w:val="24"/>
          <w:lang w:val="ro-RO"/>
        </w:rPr>
        <w:t>Dîrlău</w:t>
      </w:r>
      <w:proofErr w:type="spellEnd"/>
      <w:r w:rsidR="00694EC6">
        <w:rPr>
          <w:rFonts w:ascii="Times New Roman" w:hAnsi="Times New Roman" w:cs="Times New Roman"/>
          <w:color w:val="auto"/>
          <w:sz w:val="24"/>
          <w:szCs w:val="24"/>
          <w:lang w:val="ro-RO"/>
        </w:rPr>
        <w:t xml:space="preserve">, dl. senator George-Cătălin </w:t>
      </w:r>
      <w:proofErr w:type="spellStart"/>
      <w:r w:rsidR="00694EC6">
        <w:rPr>
          <w:rFonts w:ascii="Times New Roman" w:hAnsi="Times New Roman" w:cs="Times New Roman"/>
          <w:color w:val="auto"/>
          <w:sz w:val="24"/>
          <w:szCs w:val="24"/>
          <w:lang w:val="ro-RO"/>
        </w:rPr>
        <w:t>Bochileanu</w:t>
      </w:r>
      <w:proofErr w:type="spellEnd"/>
      <w:r w:rsidR="00694EC6">
        <w:rPr>
          <w:rFonts w:ascii="Times New Roman" w:hAnsi="Times New Roman" w:cs="Times New Roman"/>
          <w:color w:val="auto"/>
          <w:sz w:val="24"/>
          <w:szCs w:val="24"/>
          <w:lang w:val="ro-RO"/>
        </w:rPr>
        <w:t>;</w:t>
      </w:r>
      <w:r w:rsidR="00694EC6" w:rsidRPr="00835519">
        <w:rPr>
          <w:rFonts w:ascii="Times New Roman" w:hAnsi="Times New Roman" w:cs="Times New Roman"/>
          <w:color w:val="auto"/>
          <w:sz w:val="24"/>
          <w:szCs w:val="24"/>
          <w:lang w:val="ro-RO"/>
        </w:rPr>
        <w:t xml:space="preserve"> </w:t>
      </w:r>
      <w:r w:rsidR="00694EC6">
        <w:rPr>
          <w:rFonts w:ascii="Times New Roman" w:hAnsi="Times New Roman" w:cs="Times New Roman"/>
          <w:color w:val="auto"/>
          <w:sz w:val="24"/>
          <w:szCs w:val="24"/>
          <w:lang w:val="ro-RO"/>
        </w:rPr>
        <w:t xml:space="preserve">dl. senator </w:t>
      </w:r>
      <w:r w:rsidR="00694EC6" w:rsidRPr="00835519">
        <w:rPr>
          <w:rFonts w:ascii="Times New Roman" w:hAnsi="Times New Roman" w:cs="Times New Roman"/>
          <w:color w:val="auto"/>
          <w:sz w:val="24"/>
          <w:szCs w:val="24"/>
          <w:lang w:val="ro-RO"/>
        </w:rPr>
        <w:t xml:space="preserve">Cristian-Augustin </w:t>
      </w:r>
      <w:r w:rsidR="00694EC6">
        <w:rPr>
          <w:rFonts w:ascii="Times New Roman" w:hAnsi="Times New Roman" w:cs="Times New Roman"/>
          <w:color w:val="auto"/>
          <w:sz w:val="24"/>
          <w:szCs w:val="24"/>
          <w:lang w:val="ro-RO"/>
        </w:rPr>
        <w:t>N</w:t>
      </w:r>
      <w:r w:rsidR="00694EC6" w:rsidRPr="00835519">
        <w:rPr>
          <w:rFonts w:ascii="Times New Roman" w:hAnsi="Times New Roman" w:cs="Times New Roman"/>
          <w:color w:val="auto"/>
          <w:sz w:val="24"/>
          <w:szCs w:val="24"/>
          <w:lang w:val="ro-RO"/>
        </w:rPr>
        <w:t>iculescu-</w:t>
      </w:r>
      <w:proofErr w:type="spellStart"/>
      <w:r w:rsidR="00694EC6">
        <w:rPr>
          <w:rFonts w:ascii="Times New Roman" w:hAnsi="Times New Roman" w:cs="Times New Roman"/>
          <w:color w:val="auto"/>
          <w:sz w:val="24"/>
          <w:szCs w:val="24"/>
          <w:lang w:val="ro-RO"/>
        </w:rPr>
        <w:t>Ț</w:t>
      </w:r>
      <w:r w:rsidR="00694EC6" w:rsidRPr="00835519">
        <w:rPr>
          <w:rFonts w:ascii="Times New Roman" w:hAnsi="Times New Roman" w:cs="Times New Roman"/>
          <w:color w:val="auto"/>
          <w:sz w:val="24"/>
          <w:szCs w:val="24"/>
          <w:lang w:val="ro-RO"/>
        </w:rPr>
        <w:t>âgârlaş</w:t>
      </w:r>
      <w:proofErr w:type="spellEnd"/>
      <w:r w:rsidR="00694EC6">
        <w:rPr>
          <w:rFonts w:ascii="Times New Roman" w:hAnsi="Times New Roman" w:cs="Times New Roman"/>
          <w:color w:val="auto"/>
          <w:sz w:val="24"/>
          <w:szCs w:val="24"/>
          <w:lang w:val="ro-RO"/>
        </w:rPr>
        <w:t>, senator Simona Spătaru</w:t>
      </w:r>
      <w:bookmarkStart w:id="1" w:name="_Hlk209003129"/>
      <w:r w:rsidR="00694EC6">
        <w:rPr>
          <w:rFonts w:ascii="Times New Roman" w:hAnsi="Times New Roman" w:cs="Times New Roman"/>
          <w:color w:val="auto"/>
          <w:sz w:val="24"/>
          <w:szCs w:val="24"/>
          <w:lang w:val="ro-RO"/>
        </w:rPr>
        <w:t xml:space="preserve">, </w:t>
      </w:r>
      <w:bookmarkEnd w:id="1"/>
      <w:r w:rsidR="00694EC6">
        <w:rPr>
          <w:rFonts w:ascii="Times New Roman" w:hAnsi="Times New Roman" w:cs="Times New Roman"/>
          <w:color w:val="auto"/>
          <w:sz w:val="24"/>
          <w:szCs w:val="24"/>
          <w:lang w:val="ro-RO"/>
        </w:rPr>
        <w:t xml:space="preserve">dl. senator Sorin </w:t>
      </w:r>
      <w:proofErr w:type="spellStart"/>
      <w:r w:rsidR="00694EC6">
        <w:rPr>
          <w:rFonts w:ascii="Times New Roman" w:hAnsi="Times New Roman" w:cs="Times New Roman"/>
          <w:color w:val="auto"/>
          <w:sz w:val="24"/>
          <w:szCs w:val="24"/>
          <w:lang w:val="ro-RO"/>
        </w:rPr>
        <w:t>Cimpeanu</w:t>
      </w:r>
      <w:proofErr w:type="spellEnd"/>
      <w:r w:rsidR="00694EC6">
        <w:rPr>
          <w:rFonts w:ascii="Times New Roman" w:hAnsi="Times New Roman" w:cs="Times New Roman"/>
          <w:color w:val="auto"/>
          <w:sz w:val="24"/>
          <w:szCs w:val="24"/>
          <w:lang w:val="ro-RO"/>
        </w:rPr>
        <w:t xml:space="preserve">, dl. senator Robert Cazanciuc, dl. senator Eugen Dogariu; dl. senator Novak Levente, dl. senator </w:t>
      </w:r>
      <w:r w:rsidR="00694EC6" w:rsidRPr="0015666E">
        <w:rPr>
          <w:rFonts w:ascii="Times New Roman" w:hAnsi="Times New Roman" w:cs="Times New Roman"/>
          <w:color w:val="auto"/>
          <w:sz w:val="24"/>
          <w:szCs w:val="24"/>
          <w:lang w:val="ro-RO"/>
        </w:rPr>
        <w:t xml:space="preserve">Marian-Cătălin </w:t>
      </w:r>
      <w:proofErr w:type="spellStart"/>
      <w:r w:rsidR="00694EC6" w:rsidRPr="0015666E">
        <w:rPr>
          <w:rFonts w:ascii="Times New Roman" w:hAnsi="Times New Roman" w:cs="Times New Roman"/>
          <w:color w:val="auto"/>
          <w:sz w:val="24"/>
          <w:szCs w:val="24"/>
          <w:lang w:val="ro-RO"/>
        </w:rPr>
        <w:t>P</w:t>
      </w:r>
      <w:r w:rsidR="00694EC6">
        <w:rPr>
          <w:rFonts w:ascii="Times New Roman" w:hAnsi="Times New Roman" w:cs="Times New Roman"/>
          <w:color w:val="auto"/>
          <w:sz w:val="24"/>
          <w:szCs w:val="24"/>
          <w:lang w:val="ro-RO"/>
        </w:rPr>
        <w:t>redoiu</w:t>
      </w:r>
      <w:proofErr w:type="spellEnd"/>
      <w:r w:rsidR="00694EC6">
        <w:rPr>
          <w:rFonts w:ascii="Times New Roman" w:hAnsi="Times New Roman" w:cs="Times New Roman"/>
          <w:color w:val="auto"/>
          <w:sz w:val="24"/>
          <w:szCs w:val="24"/>
          <w:lang w:val="ro-RO"/>
        </w:rPr>
        <w:t>.</w:t>
      </w:r>
      <w:bookmarkEnd w:id="0"/>
    </w:p>
    <w:p w14:paraId="2E868D08" w14:textId="6122131B" w:rsidR="001622F1" w:rsidRPr="00071E16" w:rsidRDefault="001622F1" w:rsidP="001622F1">
      <w:pPr>
        <w:pStyle w:val="Corp"/>
        <w:tabs>
          <w:tab w:val="left" w:pos="567"/>
        </w:tabs>
        <w:spacing w:before="120" w:after="0" w:line="240" w:lineRule="auto"/>
        <w:jc w:val="both"/>
        <w:rPr>
          <w:rFonts w:ascii="Times New Roman" w:hAnsi="Times New Roman" w:cs="Times New Roman"/>
          <w:sz w:val="24"/>
          <w:szCs w:val="24"/>
          <w:lang w:val="ro-RO"/>
        </w:rPr>
      </w:pPr>
      <w:r w:rsidRPr="00071E16">
        <w:rPr>
          <w:rFonts w:ascii="Times New Roman" w:hAnsi="Times New Roman" w:cs="Times New Roman"/>
          <w:sz w:val="24"/>
          <w:szCs w:val="24"/>
          <w:lang w:val="ro-RO"/>
        </w:rPr>
        <w:t xml:space="preserve">În format online: </w:t>
      </w:r>
      <w:r w:rsidR="00694EC6">
        <w:rPr>
          <w:rFonts w:ascii="Times New Roman" w:hAnsi="Times New Roman" w:cs="Times New Roman"/>
          <w:sz w:val="24"/>
          <w:szCs w:val="24"/>
          <w:lang w:val="ro-RO"/>
        </w:rPr>
        <w:t xml:space="preserve">dl. </w:t>
      </w:r>
      <w:r w:rsidR="00694EC6">
        <w:rPr>
          <w:rFonts w:ascii="Times New Roman" w:hAnsi="Times New Roman" w:cs="Times New Roman"/>
          <w:color w:val="auto"/>
          <w:sz w:val="24"/>
          <w:szCs w:val="24"/>
          <w:lang w:val="ro-RO"/>
        </w:rPr>
        <w:t xml:space="preserve">senator  Titus </w:t>
      </w:r>
      <w:proofErr w:type="spellStart"/>
      <w:r w:rsidR="00694EC6">
        <w:rPr>
          <w:rFonts w:ascii="Times New Roman" w:hAnsi="Times New Roman" w:cs="Times New Roman"/>
          <w:color w:val="auto"/>
          <w:sz w:val="24"/>
          <w:szCs w:val="24"/>
          <w:lang w:val="ro-RO"/>
        </w:rPr>
        <w:t>Corlăţean</w:t>
      </w:r>
      <w:proofErr w:type="spellEnd"/>
      <w:r w:rsidR="00694EC6">
        <w:rPr>
          <w:rFonts w:ascii="Times New Roman" w:hAnsi="Times New Roman" w:cs="Times New Roman"/>
          <w:color w:val="auto"/>
          <w:sz w:val="24"/>
          <w:szCs w:val="24"/>
          <w:lang w:val="ro-RO"/>
        </w:rPr>
        <w:t xml:space="preserve"> – președinte, dl. senator Sorin Lavric – vicepreședinte, dl. senator Clement Sava – secretar dl. senator Adrian Streinu Cercel, dna. senator Carmen Orban, dna. senator </w:t>
      </w:r>
      <w:r w:rsidR="00694EC6" w:rsidRPr="00835519">
        <w:rPr>
          <w:rFonts w:ascii="Times New Roman" w:hAnsi="Times New Roman" w:cs="Times New Roman"/>
          <w:color w:val="auto"/>
          <w:sz w:val="24"/>
          <w:szCs w:val="24"/>
          <w:lang w:val="ro-RO"/>
        </w:rPr>
        <w:t>Cristina-</w:t>
      </w:r>
      <w:proofErr w:type="spellStart"/>
      <w:r w:rsidR="00694EC6" w:rsidRPr="00835519">
        <w:rPr>
          <w:rFonts w:ascii="Times New Roman" w:hAnsi="Times New Roman" w:cs="Times New Roman"/>
          <w:color w:val="auto"/>
          <w:sz w:val="24"/>
          <w:szCs w:val="24"/>
          <w:lang w:val="ro-RO"/>
        </w:rPr>
        <w:t>Gabriella</w:t>
      </w:r>
      <w:proofErr w:type="spellEnd"/>
      <w:r w:rsidR="00694EC6">
        <w:rPr>
          <w:rFonts w:ascii="Times New Roman" w:hAnsi="Times New Roman" w:cs="Times New Roman"/>
          <w:color w:val="auto"/>
          <w:sz w:val="24"/>
          <w:szCs w:val="24"/>
          <w:lang w:val="ro-RO"/>
        </w:rPr>
        <w:t xml:space="preserve"> D</w:t>
      </w:r>
      <w:r w:rsidR="00694EC6" w:rsidRPr="00835519">
        <w:rPr>
          <w:rFonts w:ascii="Times New Roman" w:hAnsi="Times New Roman" w:cs="Times New Roman"/>
          <w:color w:val="auto"/>
          <w:sz w:val="24"/>
          <w:szCs w:val="24"/>
          <w:lang w:val="ro-RO"/>
        </w:rPr>
        <w:t>umitrescu</w:t>
      </w:r>
      <w:r w:rsidR="00694EC6">
        <w:rPr>
          <w:rFonts w:ascii="Times New Roman" w:hAnsi="Times New Roman" w:cs="Times New Roman"/>
          <w:color w:val="auto"/>
          <w:sz w:val="24"/>
          <w:szCs w:val="24"/>
          <w:lang w:val="ro-RO"/>
        </w:rPr>
        <w:t xml:space="preserve">, dl. senator Andrei </w:t>
      </w:r>
      <w:proofErr w:type="spellStart"/>
      <w:r w:rsidR="00694EC6">
        <w:rPr>
          <w:rFonts w:ascii="Times New Roman" w:hAnsi="Times New Roman" w:cs="Times New Roman"/>
          <w:color w:val="auto"/>
          <w:sz w:val="24"/>
          <w:szCs w:val="24"/>
          <w:lang w:val="ro-RO"/>
        </w:rPr>
        <w:t>Dîrlău</w:t>
      </w:r>
      <w:proofErr w:type="spellEnd"/>
      <w:r w:rsidR="00694EC6">
        <w:rPr>
          <w:rFonts w:ascii="Times New Roman" w:hAnsi="Times New Roman" w:cs="Times New Roman"/>
          <w:color w:val="auto"/>
          <w:sz w:val="24"/>
          <w:szCs w:val="24"/>
          <w:lang w:val="ro-RO"/>
        </w:rPr>
        <w:t xml:space="preserve">, dl. senator George-Cătălin </w:t>
      </w:r>
      <w:proofErr w:type="spellStart"/>
      <w:r w:rsidR="00694EC6">
        <w:rPr>
          <w:rFonts w:ascii="Times New Roman" w:hAnsi="Times New Roman" w:cs="Times New Roman"/>
          <w:color w:val="auto"/>
          <w:sz w:val="24"/>
          <w:szCs w:val="24"/>
          <w:lang w:val="ro-RO"/>
        </w:rPr>
        <w:t>Bochileanu</w:t>
      </w:r>
      <w:proofErr w:type="spellEnd"/>
      <w:r w:rsidR="00694EC6">
        <w:rPr>
          <w:rFonts w:ascii="Times New Roman" w:hAnsi="Times New Roman" w:cs="Times New Roman"/>
          <w:color w:val="auto"/>
          <w:sz w:val="24"/>
          <w:szCs w:val="24"/>
          <w:lang w:val="ro-RO"/>
        </w:rPr>
        <w:t>;</w:t>
      </w:r>
      <w:r w:rsidR="00694EC6" w:rsidRPr="00835519">
        <w:rPr>
          <w:rFonts w:ascii="Times New Roman" w:hAnsi="Times New Roman" w:cs="Times New Roman"/>
          <w:color w:val="auto"/>
          <w:sz w:val="24"/>
          <w:szCs w:val="24"/>
          <w:lang w:val="ro-RO"/>
        </w:rPr>
        <w:t xml:space="preserve"> </w:t>
      </w:r>
      <w:r w:rsidR="00694EC6">
        <w:rPr>
          <w:rFonts w:ascii="Times New Roman" w:hAnsi="Times New Roman" w:cs="Times New Roman"/>
          <w:color w:val="auto"/>
          <w:sz w:val="24"/>
          <w:szCs w:val="24"/>
          <w:lang w:val="ro-RO"/>
        </w:rPr>
        <w:t xml:space="preserve">dl. senator </w:t>
      </w:r>
      <w:r w:rsidR="00694EC6" w:rsidRPr="00835519">
        <w:rPr>
          <w:rFonts w:ascii="Times New Roman" w:hAnsi="Times New Roman" w:cs="Times New Roman"/>
          <w:color w:val="auto"/>
          <w:sz w:val="24"/>
          <w:szCs w:val="24"/>
          <w:lang w:val="ro-RO"/>
        </w:rPr>
        <w:t xml:space="preserve">Cristian-Augustin </w:t>
      </w:r>
      <w:r w:rsidR="00694EC6">
        <w:rPr>
          <w:rFonts w:ascii="Times New Roman" w:hAnsi="Times New Roman" w:cs="Times New Roman"/>
          <w:color w:val="auto"/>
          <w:sz w:val="24"/>
          <w:szCs w:val="24"/>
          <w:lang w:val="ro-RO"/>
        </w:rPr>
        <w:t>N</w:t>
      </w:r>
      <w:r w:rsidR="00694EC6" w:rsidRPr="00835519">
        <w:rPr>
          <w:rFonts w:ascii="Times New Roman" w:hAnsi="Times New Roman" w:cs="Times New Roman"/>
          <w:color w:val="auto"/>
          <w:sz w:val="24"/>
          <w:szCs w:val="24"/>
          <w:lang w:val="ro-RO"/>
        </w:rPr>
        <w:t>iculescu-</w:t>
      </w:r>
      <w:proofErr w:type="spellStart"/>
      <w:r w:rsidR="00694EC6">
        <w:rPr>
          <w:rFonts w:ascii="Times New Roman" w:hAnsi="Times New Roman" w:cs="Times New Roman"/>
          <w:color w:val="auto"/>
          <w:sz w:val="24"/>
          <w:szCs w:val="24"/>
          <w:lang w:val="ro-RO"/>
        </w:rPr>
        <w:t>Ț</w:t>
      </w:r>
      <w:r w:rsidR="00694EC6" w:rsidRPr="00835519">
        <w:rPr>
          <w:rFonts w:ascii="Times New Roman" w:hAnsi="Times New Roman" w:cs="Times New Roman"/>
          <w:color w:val="auto"/>
          <w:sz w:val="24"/>
          <w:szCs w:val="24"/>
          <w:lang w:val="ro-RO"/>
        </w:rPr>
        <w:t>âgârlaş</w:t>
      </w:r>
      <w:proofErr w:type="spellEnd"/>
      <w:r w:rsidR="00694EC6">
        <w:rPr>
          <w:rFonts w:ascii="Times New Roman" w:hAnsi="Times New Roman" w:cs="Times New Roman"/>
          <w:color w:val="auto"/>
          <w:sz w:val="24"/>
          <w:szCs w:val="24"/>
          <w:lang w:val="ro-RO"/>
        </w:rPr>
        <w:t xml:space="preserve">, senator Simona Spătaru, dl. senator Sorin </w:t>
      </w:r>
      <w:proofErr w:type="spellStart"/>
      <w:r w:rsidR="00694EC6">
        <w:rPr>
          <w:rFonts w:ascii="Times New Roman" w:hAnsi="Times New Roman" w:cs="Times New Roman"/>
          <w:color w:val="auto"/>
          <w:sz w:val="24"/>
          <w:szCs w:val="24"/>
          <w:lang w:val="ro-RO"/>
        </w:rPr>
        <w:t>Cimpeanu</w:t>
      </w:r>
      <w:proofErr w:type="spellEnd"/>
      <w:r w:rsidR="00694EC6">
        <w:rPr>
          <w:rFonts w:ascii="Times New Roman" w:hAnsi="Times New Roman" w:cs="Times New Roman"/>
          <w:color w:val="auto"/>
          <w:sz w:val="24"/>
          <w:szCs w:val="24"/>
          <w:lang w:val="ro-RO"/>
        </w:rPr>
        <w:t xml:space="preserve">, dl. senator Robert Cazanciuc, dl. senator Eugen Dogariu; dl. senator Novak Levente, dl. senator </w:t>
      </w:r>
      <w:r w:rsidR="00694EC6" w:rsidRPr="0015666E">
        <w:rPr>
          <w:rFonts w:ascii="Times New Roman" w:hAnsi="Times New Roman" w:cs="Times New Roman"/>
          <w:color w:val="auto"/>
          <w:sz w:val="24"/>
          <w:szCs w:val="24"/>
          <w:lang w:val="ro-RO"/>
        </w:rPr>
        <w:t xml:space="preserve">Marian-Cătălin </w:t>
      </w:r>
      <w:proofErr w:type="spellStart"/>
      <w:r w:rsidR="00694EC6" w:rsidRPr="0015666E">
        <w:rPr>
          <w:rFonts w:ascii="Times New Roman" w:hAnsi="Times New Roman" w:cs="Times New Roman"/>
          <w:color w:val="auto"/>
          <w:sz w:val="24"/>
          <w:szCs w:val="24"/>
          <w:lang w:val="ro-RO"/>
        </w:rPr>
        <w:t>P</w:t>
      </w:r>
      <w:r w:rsidR="00694EC6">
        <w:rPr>
          <w:rFonts w:ascii="Times New Roman" w:hAnsi="Times New Roman" w:cs="Times New Roman"/>
          <w:color w:val="auto"/>
          <w:sz w:val="24"/>
          <w:szCs w:val="24"/>
          <w:lang w:val="ro-RO"/>
        </w:rPr>
        <w:t>redoiu</w:t>
      </w:r>
      <w:proofErr w:type="spellEnd"/>
      <w:r w:rsidR="00694EC6">
        <w:rPr>
          <w:rFonts w:ascii="Times New Roman" w:hAnsi="Times New Roman" w:cs="Times New Roman"/>
          <w:color w:val="auto"/>
          <w:sz w:val="24"/>
          <w:szCs w:val="24"/>
          <w:lang w:val="ro-RO"/>
        </w:rPr>
        <w:t>.</w:t>
      </w:r>
    </w:p>
    <w:p w14:paraId="3D9ECD0C" w14:textId="046D6DA0" w:rsidR="00842797" w:rsidRPr="00071E16" w:rsidRDefault="004C2A43"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 xml:space="preserve">Ședința a fost condusă de dl. senator  Titus </w:t>
      </w:r>
      <w:proofErr w:type="spellStart"/>
      <w:r w:rsidRPr="00071E16">
        <w:rPr>
          <w:rFonts w:ascii="Times New Roman" w:hAnsi="Times New Roman" w:cs="Times New Roman"/>
          <w:color w:val="auto"/>
          <w:sz w:val="24"/>
          <w:szCs w:val="24"/>
          <w:lang w:val="ro-RO"/>
        </w:rPr>
        <w:t>Corlăţean</w:t>
      </w:r>
      <w:proofErr w:type="spellEnd"/>
      <w:r w:rsidRPr="00071E16">
        <w:rPr>
          <w:rFonts w:ascii="Times New Roman" w:hAnsi="Times New Roman" w:cs="Times New Roman"/>
          <w:color w:val="auto"/>
          <w:sz w:val="24"/>
          <w:szCs w:val="24"/>
          <w:lang w:val="ro-RO"/>
        </w:rPr>
        <w:t>, președintele Comisiei.</w:t>
      </w:r>
    </w:p>
    <w:p w14:paraId="061B9BE3" w14:textId="105727A0" w:rsidR="00DD018D" w:rsidRPr="00071E16" w:rsidRDefault="00DD018D"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ab/>
        <w:t>Ordinea de zi a cuprins:</w:t>
      </w:r>
    </w:p>
    <w:p w14:paraId="6C642492" w14:textId="79B058CA" w:rsidR="00DD018D" w:rsidRPr="00071E16" w:rsidRDefault="00DD018D" w:rsidP="00DD018D">
      <w:pPr>
        <w:pStyle w:val="Corp"/>
        <w:tabs>
          <w:tab w:val="left" w:pos="567"/>
        </w:tabs>
        <w:spacing w:before="120"/>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1.</w:t>
      </w:r>
      <w:r w:rsidR="009740C6" w:rsidRPr="00071E16">
        <w:rPr>
          <w:rFonts w:ascii="Times New Roman" w:hAnsi="Times New Roman" w:cs="Times New Roman"/>
          <w:color w:val="auto"/>
          <w:sz w:val="24"/>
          <w:szCs w:val="24"/>
          <w:lang w:val="ro-RO"/>
        </w:rPr>
        <w:t xml:space="preserve"> Inițiative legislative aflate în portofoliul comisiei pentru dezbatere în fond</w:t>
      </w:r>
      <w:r w:rsidR="00A150B7" w:rsidRPr="00071E16">
        <w:rPr>
          <w:rFonts w:ascii="Times New Roman" w:hAnsi="Times New Roman" w:cs="Times New Roman"/>
          <w:color w:val="auto"/>
          <w:sz w:val="24"/>
          <w:szCs w:val="24"/>
          <w:lang w:val="ro-RO"/>
        </w:rPr>
        <w:t>;</w:t>
      </w:r>
    </w:p>
    <w:p w14:paraId="3B9493A5" w14:textId="4E9A8A6D" w:rsidR="00A150B7" w:rsidRPr="00071E16" w:rsidRDefault="00A150B7" w:rsidP="00DD018D">
      <w:pPr>
        <w:pStyle w:val="Corp"/>
        <w:tabs>
          <w:tab w:val="left" w:pos="567"/>
        </w:tabs>
        <w:spacing w:before="120"/>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2. Comunicări europene aflate în portofoliul comisiei pentru dezbatere în fond;</w:t>
      </w:r>
    </w:p>
    <w:p w14:paraId="32CB52EB" w14:textId="0F06C612" w:rsidR="00DD018D" w:rsidRPr="00071E16" w:rsidRDefault="00A150B7" w:rsidP="00DD018D">
      <w:pPr>
        <w:pStyle w:val="Corp"/>
        <w:tabs>
          <w:tab w:val="left" w:pos="567"/>
        </w:tabs>
        <w:spacing w:before="120" w:after="0" w:line="240" w:lineRule="auto"/>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3</w:t>
      </w:r>
      <w:r w:rsidR="00DD018D" w:rsidRPr="00071E16">
        <w:rPr>
          <w:rFonts w:ascii="Times New Roman" w:hAnsi="Times New Roman" w:cs="Times New Roman"/>
          <w:color w:val="auto"/>
          <w:sz w:val="24"/>
          <w:szCs w:val="24"/>
          <w:lang w:val="ro-RO"/>
        </w:rPr>
        <w:t>. Memorandumuri aferente unor acțiuni parlamentare de relații externe.</w:t>
      </w:r>
    </w:p>
    <w:p w14:paraId="07F5CEEB" w14:textId="639AA0F1" w:rsidR="007E7338" w:rsidRPr="00071E16" w:rsidRDefault="00842797" w:rsidP="006B045F">
      <w:pPr>
        <w:pStyle w:val="Corp"/>
        <w:tabs>
          <w:tab w:val="left" w:pos="567"/>
        </w:tabs>
        <w:spacing w:before="120" w:after="0" w:line="240" w:lineRule="auto"/>
        <w:jc w:val="both"/>
        <w:rPr>
          <w:rFonts w:ascii="Times New Roman" w:hAnsi="Times New Roman" w:cs="Times New Roman"/>
          <w:b/>
          <w:bCs/>
          <w:sz w:val="24"/>
          <w:szCs w:val="24"/>
          <w:lang w:val="ro-RO"/>
        </w:rPr>
      </w:pPr>
      <w:r w:rsidRPr="00071E16">
        <w:rPr>
          <w:rFonts w:ascii="Times New Roman" w:hAnsi="Times New Roman" w:cs="Times New Roman"/>
          <w:sz w:val="24"/>
          <w:szCs w:val="24"/>
          <w:lang w:val="ro-RO"/>
        </w:rPr>
        <w:tab/>
        <w:t>Ordinea de zi a fost adoptată în unanimitate.</w:t>
      </w:r>
      <w:r w:rsidRPr="00071E16">
        <w:rPr>
          <w:rFonts w:ascii="Times New Roman" w:hAnsi="Times New Roman" w:cs="Times New Roman"/>
          <w:b/>
          <w:bCs/>
          <w:sz w:val="24"/>
          <w:szCs w:val="24"/>
          <w:lang w:val="ro-RO"/>
        </w:rPr>
        <w:t xml:space="preserve"> </w:t>
      </w:r>
    </w:p>
    <w:p w14:paraId="0C259B25" w14:textId="77777777" w:rsidR="006F7A8A" w:rsidRPr="00071E16" w:rsidRDefault="006F7A8A" w:rsidP="006F7A8A">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bookmarkStart w:id="2" w:name="_Hlk211411388"/>
      <w:r w:rsidRPr="00071E16">
        <w:rPr>
          <w:rFonts w:ascii="Times New Roman" w:eastAsia="Times New Roman" w:hAnsi="Times New Roman" w:cs="Times New Roman"/>
          <w:b/>
          <w:color w:val="000000" w:themeColor="text1"/>
          <w:sz w:val="24"/>
          <w:szCs w:val="24"/>
          <w:lang w:val="ro-RO"/>
        </w:rPr>
        <w:t>L</w:t>
      </w:r>
      <w:r>
        <w:rPr>
          <w:rFonts w:ascii="Times New Roman" w:eastAsia="Times New Roman" w:hAnsi="Times New Roman" w:cs="Times New Roman"/>
          <w:b/>
          <w:color w:val="000000" w:themeColor="text1"/>
          <w:sz w:val="24"/>
          <w:szCs w:val="24"/>
          <w:lang w:val="ro-RO"/>
        </w:rPr>
        <w:t>619</w:t>
      </w:r>
      <w:r w:rsidRPr="00071E16">
        <w:rPr>
          <w:rFonts w:ascii="Times New Roman" w:eastAsia="Times New Roman" w:hAnsi="Times New Roman" w:cs="Times New Roman"/>
          <w:b/>
          <w:color w:val="000000" w:themeColor="text1"/>
          <w:sz w:val="24"/>
          <w:szCs w:val="24"/>
          <w:lang w:val="ro-RO"/>
        </w:rPr>
        <w:t>/202</w:t>
      </w:r>
      <w:r>
        <w:rPr>
          <w:rFonts w:ascii="Times New Roman" w:eastAsia="Times New Roman" w:hAnsi="Times New Roman" w:cs="Times New Roman"/>
          <w:b/>
          <w:color w:val="000000" w:themeColor="text1"/>
          <w:sz w:val="24"/>
          <w:szCs w:val="24"/>
          <w:lang w:val="ro-RO"/>
        </w:rPr>
        <w:t>3</w:t>
      </w:r>
      <w:r w:rsidRPr="00071E16">
        <w:rPr>
          <w:rFonts w:ascii="Times New Roman" w:eastAsia="Times New Roman" w:hAnsi="Times New Roman" w:cs="Times New Roman"/>
          <w:b/>
          <w:color w:val="000000" w:themeColor="text1"/>
          <w:sz w:val="24"/>
          <w:szCs w:val="24"/>
          <w:lang w:val="ro-RO"/>
        </w:rPr>
        <w:t xml:space="preserve"> </w:t>
      </w:r>
      <w:r w:rsidRPr="00071E16">
        <w:rPr>
          <w:rFonts w:ascii="Times New Roman" w:hAnsi="Times New Roman" w:cs="Times New Roman"/>
          <w:b/>
          <w:bCs/>
          <w:sz w:val="24"/>
          <w:szCs w:val="24"/>
          <w:lang w:val="ro-RO"/>
        </w:rPr>
        <w:t>-</w:t>
      </w:r>
      <w:r w:rsidRPr="00071E16">
        <w:rPr>
          <w:rFonts w:ascii="Times New Roman" w:hAnsi="Times New Roman" w:cs="Times New Roman"/>
          <w:sz w:val="24"/>
          <w:szCs w:val="24"/>
          <w:lang w:val="ro-RO"/>
        </w:rPr>
        <w:t xml:space="preserve"> </w:t>
      </w:r>
      <w:r w:rsidRPr="00C61824">
        <w:rPr>
          <w:rFonts w:ascii="Times New Roman" w:hAnsi="Times New Roman" w:cs="Times New Roman"/>
          <w:b/>
          <w:sz w:val="24"/>
          <w:szCs w:val="24"/>
          <w:lang w:val="ro-RO"/>
        </w:rPr>
        <w:t xml:space="preserve">Propunere legislativă pentru modificarea alin.(4) art.18 din Legea nr.36/1995 a notarilor publici </w:t>
      </w:r>
      <w:proofErr w:type="spellStart"/>
      <w:r w:rsidRPr="00C61824">
        <w:rPr>
          <w:rFonts w:ascii="Times New Roman" w:hAnsi="Times New Roman" w:cs="Times New Roman"/>
          <w:b/>
          <w:sz w:val="24"/>
          <w:szCs w:val="24"/>
          <w:lang w:val="ro-RO"/>
        </w:rPr>
        <w:t>şi</w:t>
      </w:r>
      <w:proofErr w:type="spellEnd"/>
      <w:r w:rsidRPr="00C61824">
        <w:rPr>
          <w:rFonts w:ascii="Times New Roman" w:hAnsi="Times New Roman" w:cs="Times New Roman"/>
          <w:b/>
          <w:sz w:val="24"/>
          <w:szCs w:val="24"/>
          <w:lang w:val="ro-RO"/>
        </w:rPr>
        <w:t xml:space="preserve"> a </w:t>
      </w:r>
      <w:proofErr w:type="spellStart"/>
      <w:r w:rsidRPr="00C61824">
        <w:rPr>
          <w:rFonts w:ascii="Times New Roman" w:hAnsi="Times New Roman" w:cs="Times New Roman"/>
          <w:b/>
          <w:sz w:val="24"/>
          <w:szCs w:val="24"/>
          <w:lang w:val="ro-RO"/>
        </w:rPr>
        <w:t>activităţii</w:t>
      </w:r>
      <w:proofErr w:type="spellEnd"/>
      <w:r w:rsidRPr="00C61824">
        <w:rPr>
          <w:rFonts w:ascii="Times New Roman" w:hAnsi="Times New Roman" w:cs="Times New Roman"/>
          <w:b/>
          <w:sz w:val="24"/>
          <w:szCs w:val="24"/>
          <w:lang w:val="ro-RO"/>
        </w:rPr>
        <w:t xml:space="preserve"> notariale </w:t>
      </w:r>
      <w:proofErr w:type="spellStart"/>
      <w:r w:rsidRPr="00C61824">
        <w:rPr>
          <w:rFonts w:ascii="Times New Roman" w:hAnsi="Times New Roman" w:cs="Times New Roman"/>
          <w:b/>
          <w:sz w:val="24"/>
          <w:szCs w:val="24"/>
          <w:lang w:val="ro-RO"/>
        </w:rPr>
        <w:t>şi</w:t>
      </w:r>
      <w:proofErr w:type="spellEnd"/>
      <w:r w:rsidRPr="00C61824">
        <w:rPr>
          <w:rFonts w:ascii="Times New Roman" w:hAnsi="Times New Roman" w:cs="Times New Roman"/>
          <w:b/>
          <w:sz w:val="24"/>
          <w:szCs w:val="24"/>
          <w:lang w:val="ro-RO"/>
        </w:rPr>
        <w:t xml:space="preserve"> pentru completarea Legii nr.198/2008 privind serviciile consulare pentru care se percep taxe </w:t>
      </w:r>
      <w:proofErr w:type="spellStart"/>
      <w:r w:rsidRPr="00C61824">
        <w:rPr>
          <w:rFonts w:ascii="Times New Roman" w:hAnsi="Times New Roman" w:cs="Times New Roman"/>
          <w:b/>
          <w:sz w:val="24"/>
          <w:szCs w:val="24"/>
          <w:lang w:val="ro-RO"/>
        </w:rPr>
        <w:t>şi</w:t>
      </w:r>
      <w:proofErr w:type="spellEnd"/>
      <w:r w:rsidRPr="00C61824">
        <w:rPr>
          <w:rFonts w:ascii="Times New Roman" w:hAnsi="Times New Roman" w:cs="Times New Roman"/>
          <w:b/>
          <w:sz w:val="24"/>
          <w:szCs w:val="24"/>
          <w:lang w:val="ro-RO"/>
        </w:rPr>
        <w:t xml:space="preserve"> nivelul taxelor consulare la misiunile diplomatice </w:t>
      </w:r>
      <w:proofErr w:type="spellStart"/>
      <w:r w:rsidRPr="00C61824">
        <w:rPr>
          <w:rFonts w:ascii="Times New Roman" w:hAnsi="Times New Roman" w:cs="Times New Roman"/>
          <w:b/>
          <w:sz w:val="24"/>
          <w:szCs w:val="24"/>
          <w:lang w:val="ro-RO"/>
        </w:rPr>
        <w:t>şi</w:t>
      </w:r>
      <w:proofErr w:type="spellEnd"/>
      <w:r w:rsidRPr="00C61824">
        <w:rPr>
          <w:rFonts w:ascii="Times New Roman" w:hAnsi="Times New Roman" w:cs="Times New Roman"/>
          <w:b/>
          <w:sz w:val="24"/>
          <w:szCs w:val="24"/>
          <w:lang w:val="ro-RO"/>
        </w:rPr>
        <w:t xml:space="preserve"> oficiile consulare ale României în străinătate</w:t>
      </w:r>
      <w:r w:rsidRPr="006C707E">
        <w:rPr>
          <w:rFonts w:ascii="Times New Roman" w:hAnsi="Times New Roman" w:cs="Times New Roman"/>
          <w:b/>
          <w:sz w:val="24"/>
          <w:szCs w:val="24"/>
          <w:lang w:val="ro-RO"/>
        </w:rPr>
        <w:t>.</w:t>
      </w:r>
    </w:p>
    <w:p w14:paraId="19BD8288" w14:textId="77777777" w:rsidR="006F7A8A" w:rsidRPr="00071E16" w:rsidRDefault="006F7A8A" w:rsidP="006F7A8A">
      <w:pPr>
        <w:pStyle w:val="Corp"/>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hAnsi="Times New Roman" w:cs="Times New Roman"/>
          <w:b/>
          <w:sz w:val="24"/>
          <w:szCs w:val="24"/>
          <w:lang w:val="ro-RO"/>
        </w:rPr>
        <w:t>Inițiator</w:t>
      </w:r>
      <w:r>
        <w:rPr>
          <w:rFonts w:ascii="Times New Roman" w:hAnsi="Times New Roman" w:cs="Times New Roman"/>
          <w:b/>
          <w:sz w:val="24"/>
          <w:szCs w:val="24"/>
          <w:lang w:val="ro-RO"/>
        </w:rPr>
        <w:t>i</w:t>
      </w:r>
      <w:r w:rsidRPr="00071E16">
        <w:rPr>
          <w:rFonts w:ascii="Times New Roman" w:hAnsi="Times New Roman" w:cs="Times New Roman"/>
          <w:b/>
          <w:sz w:val="24"/>
          <w:szCs w:val="24"/>
          <w:lang w:val="ro-RO"/>
        </w:rPr>
        <w:t xml:space="preserve">: </w:t>
      </w:r>
      <w:r>
        <w:rPr>
          <w:rFonts w:ascii="Times New Roman" w:hAnsi="Times New Roman" w:cs="Times New Roman"/>
          <w:b/>
          <w:sz w:val="24"/>
          <w:szCs w:val="24"/>
          <w:lang w:val="ro-RO"/>
        </w:rPr>
        <w:t>senatori și deputați</w:t>
      </w:r>
    </w:p>
    <w:p w14:paraId="164555B4" w14:textId="77777777" w:rsidR="006F7A8A" w:rsidRPr="00071E16" w:rsidRDefault="006F7A8A" w:rsidP="006F7A8A">
      <w:pPr>
        <w:pStyle w:val="Corp"/>
        <w:tabs>
          <w:tab w:val="left" w:pos="567"/>
        </w:tabs>
        <w:spacing w:before="120" w:after="0" w:line="240" w:lineRule="auto"/>
        <w:jc w:val="both"/>
        <w:rPr>
          <w:rFonts w:ascii="Times New Roman" w:hAnsi="Times New Roman" w:cs="Times New Roman"/>
          <w:b/>
          <w:sz w:val="24"/>
          <w:szCs w:val="24"/>
          <w:lang w:val="ro-RO"/>
        </w:rPr>
      </w:pPr>
    </w:p>
    <w:p w14:paraId="7CF59A00" w14:textId="77777777" w:rsidR="006F7A8A" w:rsidRDefault="006F7A8A" w:rsidP="006F7A8A">
      <w:pPr>
        <w:ind w:firstLine="720"/>
        <w:jc w:val="both"/>
      </w:pPr>
      <w:proofErr w:type="spellStart"/>
      <w:r w:rsidRPr="00B04EA7">
        <w:t>Prezenta</w:t>
      </w:r>
      <w:proofErr w:type="spellEnd"/>
      <w:r w:rsidRPr="00B04EA7">
        <w:t xml:space="preserve"> </w:t>
      </w:r>
      <w:proofErr w:type="spellStart"/>
      <w:r w:rsidRPr="00B04EA7">
        <w:t>propunere</w:t>
      </w:r>
      <w:proofErr w:type="spellEnd"/>
      <w:r w:rsidRPr="00B04EA7">
        <w:t xml:space="preserve"> </w:t>
      </w:r>
      <w:proofErr w:type="spellStart"/>
      <w:r w:rsidRPr="00B04EA7">
        <w:t>legislativă</w:t>
      </w:r>
      <w:proofErr w:type="spellEnd"/>
      <w:r w:rsidRPr="00B04EA7">
        <w:t xml:space="preserve"> se </w:t>
      </w:r>
      <w:proofErr w:type="spellStart"/>
      <w:r w:rsidRPr="00B04EA7">
        <w:t>fundamentează</w:t>
      </w:r>
      <w:proofErr w:type="spellEnd"/>
      <w:r w:rsidRPr="00B04EA7">
        <w:t xml:space="preserve"> pe principii </w:t>
      </w:r>
      <w:proofErr w:type="spellStart"/>
      <w:r w:rsidRPr="00B04EA7">
        <w:t>constituţionale</w:t>
      </w:r>
      <w:proofErr w:type="spellEnd"/>
      <w:r w:rsidRPr="00B04EA7">
        <w:t xml:space="preserve"> </w:t>
      </w:r>
      <w:proofErr w:type="spellStart"/>
      <w:r w:rsidRPr="00B04EA7">
        <w:t>fundamentale</w:t>
      </w:r>
      <w:proofErr w:type="spellEnd"/>
      <w:r w:rsidRPr="00B04EA7">
        <w:t xml:space="preserve">, cu </w:t>
      </w:r>
      <w:proofErr w:type="spellStart"/>
      <w:r w:rsidRPr="00B04EA7">
        <w:t>deosebire</w:t>
      </w:r>
      <w:proofErr w:type="spellEnd"/>
      <w:r w:rsidRPr="00B04EA7">
        <w:t xml:space="preserve"> pe </w:t>
      </w:r>
      <w:proofErr w:type="spellStart"/>
      <w:r w:rsidRPr="00B04EA7">
        <w:t>prevederile</w:t>
      </w:r>
      <w:proofErr w:type="spellEnd"/>
      <w:r w:rsidRPr="00B04EA7">
        <w:t xml:space="preserve"> </w:t>
      </w:r>
      <w:proofErr w:type="spellStart"/>
      <w:r w:rsidRPr="00B04EA7">
        <w:t>articolului</w:t>
      </w:r>
      <w:proofErr w:type="spellEnd"/>
      <w:r w:rsidRPr="00B04EA7">
        <w:t xml:space="preserve"> 16 din </w:t>
      </w:r>
      <w:proofErr w:type="spellStart"/>
      <w:r w:rsidRPr="00B04EA7">
        <w:t>Constituţia</w:t>
      </w:r>
      <w:proofErr w:type="spellEnd"/>
      <w:r w:rsidRPr="00B04EA7">
        <w:t xml:space="preserve"> </w:t>
      </w:r>
      <w:proofErr w:type="spellStart"/>
      <w:r w:rsidRPr="00B04EA7">
        <w:t>României</w:t>
      </w:r>
      <w:proofErr w:type="spellEnd"/>
      <w:r w:rsidRPr="00B04EA7">
        <w:t xml:space="preserve"> </w:t>
      </w:r>
      <w:proofErr w:type="spellStart"/>
      <w:r w:rsidRPr="00B04EA7">
        <w:t>privind</w:t>
      </w:r>
      <w:proofErr w:type="spellEnd"/>
      <w:r w:rsidRPr="00B04EA7">
        <w:t xml:space="preserve"> </w:t>
      </w:r>
      <w:proofErr w:type="spellStart"/>
      <w:r w:rsidRPr="00B04EA7">
        <w:t>egalitatea</w:t>
      </w:r>
      <w:proofErr w:type="spellEnd"/>
      <w:r w:rsidRPr="00B04EA7">
        <w:t xml:space="preserve"> </w:t>
      </w:r>
      <w:proofErr w:type="spellStart"/>
      <w:r w:rsidRPr="00B04EA7">
        <w:t>în</w:t>
      </w:r>
      <w:proofErr w:type="spellEnd"/>
      <w:r w:rsidRPr="00B04EA7">
        <w:t xml:space="preserve"> </w:t>
      </w:r>
      <w:proofErr w:type="spellStart"/>
      <w:r w:rsidRPr="00B04EA7">
        <w:t>drepturi</w:t>
      </w:r>
      <w:proofErr w:type="spellEnd"/>
      <w:r w:rsidRPr="00B04EA7">
        <w:t xml:space="preserve">. De </w:t>
      </w:r>
      <w:proofErr w:type="spellStart"/>
      <w:r w:rsidRPr="00B04EA7">
        <w:t>asemenea</w:t>
      </w:r>
      <w:proofErr w:type="spellEnd"/>
      <w:r w:rsidRPr="00B04EA7">
        <w:t xml:space="preserve">, </w:t>
      </w:r>
      <w:proofErr w:type="spellStart"/>
      <w:r w:rsidRPr="00B04EA7">
        <w:t>reglementarea</w:t>
      </w:r>
      <w:proofErr w:type="spellEnd"/>
      <w:r w:rsidRPr="00B04EA7">
        <w:t xml:space="preserve"> </w:t>
      </w:r>
      <w:proofErr w:type="spellStart"/>
      <w:r w:rsidRPr="00B04EA7">
        <w:t>îşi</w:t>
      </w:r>
      <w:proofErr w:type="spellEnd"/>
      <w:r w:rsidRPr="00B04EA7">
        <w:t xml:space="preserve"> </w:t>
      </w:r>
      <w:proofErr w:type="spellStart"/>
      <w:r w:rsidRPr="00B04EA7">
        <w:t>găseşte</w:t>
      </w:r>
      <w:proofErr w:type="spellEnd"/>
      <w:r w:rsidRPr="00B04EA7">
        <w:t xml:space="preserve"> </w:t>
      </w:r>
      <w:proofErr w:type="spellStart"/>
      <w:r w:rsidRPr="00B04EA7">
        <w:t>fundamentul</w:t>
      </w:r>
      <w:proofErr w:type="spellEnd"/>
      <w:r w:rsidRPr="00B04EA7">
        <w:t xml:space="preserve"> </w:t>
      </w:r>
      <w:proofErr w:type="spellStart"/>
      <w:r w:rsidRPr="00B04EA7">
        <w:t>în</w:t>
      </w:r>
      <w:proofErr w:type="spellEnd"/>
      <w:r w:rsidRPr="00B04EA7">
        <w:t xml:space="preserve"> </w:t>
      </w:r>
      <w:proofErr w:type="spellStart"/>
      <w:r w:rsidRPr="00B04EA7">
        <w:t>principiile</w:t>
      </w:r>
      <w:proofErr w:type="spellEnd"/>
      <w:r w:rsidRPr="00B04EA7">
        <w:t xml:space="preserve"> </w:t>
      </w:r>
      <w:proofErr w:type="spellStart"/>
      <w:r w:rsidRPr="00B04EA7">
        <w:t>europene</w:t>
      </w:r>
      <w:proofErr w:type="spellEnd"/>
      <w:r w:rsidRPr="00B04EA7">
        <w:t xml:space="preserve"> ale </w:t>
      </w:r>
      <w:proofErr w:type="spellStart"/>
      <w:r w:rsidRPr="00B04EA7">
        <w:t>bunei</w:t>
      </w:r>
      <w:proofErr w:type="spellEnd"/>
      <w:r w:rsidRPr="00B04EA7">
        <w:t xml:space="preserve"> </w:t>
      </w:r>
      <w:proofErr w:type="spellStart"/>
      <w:r w:rsidRPr="00B04EA7">
        <w:t>guvernări</w:t>
      </w:r>
      <w:proofErr w:type="spellEnd"/>
      <w:r w:rsidRPr="00B04EA7">
        <w:t xml:space="preserve">, </w:t>
      </w:r>
      <w:proofErr w:type="spellStart"/>
      <w:r w:rsidRPr="00B04EA7">
        <w:t>transparenţei</w:t>
      </w:r>
      <w:proofErr w:type="spellEnd"/>
      <w:r w:rsidRPr="00B04EA7">
        <w:t xml:space="preserve"> administrative </w:t>
      </w:r>
      <w:proofErr w:type="spellStart"/>
      <w:r w:rsidRPr="00B04EA7">
        <w:t>şi</w:t>
      </w:r>
      <w:proofErr w:type="spellEnd"/>
      <w:r w:rsidRPr="00B04EA7">
        <w:t xml:space="preserve"> </w:t>
      </w:r>
      <w:proofErr w:type="spellStart"/>
      <w:r w:rsidRPr="00B04EA7">
        <w:t>accesului</w:t>
      </w:r>
      <w:proofErr w:type="spellEnd"/>
      <w:r w:rsidRPr="00B04EA7">
        <w:t xml:space="preserve"> egal la </w:t>
      </w:r>
      <w:proofErr w:type="spellStart"/>
      <w:r w:rsidRPr="00B04EA7">
        <w:t>funcţiile</w:t>
      </w:r>
      <w:proofErr w:type="spellEnd"/>
      <w:r w:rsidRPr="00B04EA7">
        <w:t xml:space="preserve"> </w:t>
      </w:r>
      <w:proofErr w:type="spellStart"/>
      <w:r w:rsidRPr="00B04EA7">
        <w:t>publice</w:t>
      </w:r>
      <w:proofErr w:type="spellEnd"/>
      <w:r w:rsidRPr="00B04EA7">
        <w:t xml:space="preserve">, principii </w:t>
      </w:r>
      <w:proofErr w:type="spellStart"/>
      <w:r w:rsidRPr="00B04EA7">
        <w:t>consacrate</w:t>
      </w:r>
      <w:proofErr w:type="spellEnd"/>
      <w:r w:rsidRPr="00B04EA7">
        <w:t xml:space="preserve"> </w:t>
      </w:r>
      <w:proofErr w:type="spellStart"/>
      <w:r w:rsidRPr="00B04EA7">
        <w:t>în</w:t>
      </w:r>
      <w:proofErr w:type="spellEnd"/>
      <w:r w:rsidRPr="00B04EA7">
        <w:t xml:space="preserve"> Carta </w:t>
      </w:r>
      <w:proofErr w:type="spellStart"/>
      <w:r w:rsidRPr="00B04EA7">
        <w:t>Drepturilor</w:t>
      </w:r>
      <w:proofErr w:type="spellEnd"/>
      <w:r w:rsidRPr="00B04EA7">
        <w:t xml:space="preserve"> </w:t>
      </w:r>
      <w:proofErr w:type="spellStart"/>
      <w:r w:rsidRPr="00B04EA7">
        <w:t>Fundamentale</w:t>
      </w:r>
      <w:proofErr w:type="spellEnd"/>
      <w:r w:rsidRPr="00B04EA7">
        <w:t xml:space="preserve"> a </w:t>
      </w:r>
      <w:proofErr w:type="spellStart"/>
      <w:r w:rsidRPr="00B04EA7">
        <w:t>Uniunii</w:t>
      </w:r>
      <w:proofErr w:type="spellEnd"/>
      <w:r w:rsidRPr="00B04EA7">
        <w:t xml:space="preserve"> Europene </w:t>
      </w:r>
      <w:proofErr w:type="spellStart"/>
      <w:r w:rsidRPr="00B04EA7">
        <w:t>şi</w:t>
      </w:r>
      <w:proofErr w:type="spellEnd"/>
      <w:r w:rsidRPr="00B04EA7">
        <w:t xml:space="preserve"> </w:t>
      </w:r>
      <w:proofErr w:type="spellStart"/>
      <w:r w:rsidRPr="00B04EA7">
        <w:t>în</w:t>
      </w:r>
      <w:proofErr w:type="spellEnd"/>
      <w:r w:rsidRPr="00B04EA7">
        <w:t xml:space="preserve"> </w:t>
      </w:r>
      <w:proofErr w:type="spellStart"/>
      <w:r w:rsidRPr="00B04EA7">
        <w:t>documentele</w:t>
      </w:r>
      <w:proofErr w:type="spellEnd"/>
      <w:r w:rsidRPr="00B04EA7">
        <w:t xml:space="preserve"> </w:t>
      </w:r>
      <w:proofErr w:type="spellStart"/>
      <w:r w:rsidRPr="00B04EA7">
        <w:t>Organizaţiei</w:t>
      </w:r>
      <w:proofErr w:type="spellEnd"/>
      <w:r w:rsidRPr="00B04EA7">
        <w:t xml:space="preserve"> pentru </w:t>
      </w:r>
      <w:proofErr w:type="spellStart"/>
      <w:r w:rsidRPr="00B04EA7">
        <w:t>Cooperare</w:t>
      </w:r>
      <w:proofErr w:type="spellEnd"/>
      <w:r w:rsidRPr="00B04EA7">
        <w:t xml:space="preserve"> </w:t>
      </w:r>
      <w:proofErr w:type="spellStart"/>
      <w:r w:rsidRPr="00B04EA7">
        <w:t>şi</w:t>
      </w:r>
      <w:proofErr w:type="spellEnd"/>
      <w:r w:rsidRPr="00B04EA7">
        <w:t xml:space="preserve"> Dezvoltare </w:t>
      </w:r>
      <w:proofErr w:type="spellStart"/>
      <w:r w:rsidRPr="00B04EA7">
        <w:t>Economică</w:t>
      </w:r>
      <w:proofErr w:type="spellEnd"/>
      <w:r w:rsidRPr="00B04EA7">
        <w:t>.</w:t>
      </w:r>
    </w:p>
    <w:p w14:paraId="7521FA5E" w14:textId="77777777" w:rsidR="006F7A8A" w:rsidRPr="00071E16" w:rsidRDefault="006F7A8A" w:rsidP="006F7A8A">
      <w:pPr>
        <w:jc w:val="both"/>
        <w:rPr>
          <w:lang w:val="ro-RO"/>
        </w:rPr>
      </w:pPr>
      <w:r>
        <w:tab/>
      </w:r>
    </w:p>
    <w:p w14:paraId="338ED878" w14:textId="77777777" w:rsidR="006F7A8A" w:rsidRPr="00071E16" w:rsidRDefault="006F7A8A" w:rsidP="006F7A8A">
      <w:pPr>
        <w:spacing w:after="100" w:afterAutospacing="1"/>
        <w:ind w:firstLine="720"/>
        <w:jc w:val="both"/>
        <w:rPr>
          <w:lang w:val="ro-RO"/>
        </w:rPr>
      </w:pPr>
      <w:r w:rsidRPr="00071E16">
        <w:rPr>
          <w:rFonts w:eastAsia="Times New Roman"/>
          <w:color w:val="000000"/>
          <w:lang w:val="ro-RO"/>
        </w:rPr>
        <w:t>Schimbări preconizate:</w:t>
      </w:r>
      <w:r w:rsidRPr="00071E16">
        <w:rPr>
          <w:lang w:val="ro-RO"/>
        </w:rPr>
        <w:t xml:space="preserve"> </w:t>
      </w:r>
    </w:p>
    <w:p w14:paraId="0A1331DD" w14:textId="77777777" w:rsidR="006F7A8A" w:rsidRPr="00B04EA7" w:rsidRDefault="006F7A8A" w:rsidP="006F7A8A">
      <w:pPr>
        <w:jc w:val="both"/>
        <w:rPr>
          <w:rFonts w:eastAsiaTheme="minorHAnsi"/>
          <w:kern w:val="2"/>
          <w:bdr w:val="none" w:sz="0" w:space="0" w:color="auto"/>
          <w14:ligatures w14:val="standardContextual"/>
        </w:rPr>
      </w:pPr>
      <w:r w:rsidRPr="00071E16">
        <w:tab/>
      </w:r>
      <w:proofErr w:type="spellStart"/>
      <w:r w:rsidRPr="00B04EA7">
        <w:rPr>
          <w:rFonts w:eastAsiaTheme="minorHAnsi"/>
          <w:kern w:val="2"/>
          <w:bdr w:val="none" w:sz="0" w:space="0" w:color="auto"/>
          <w14:ligatures w14:val="standardContextual"/>
        </w:rPr>
        <w:t>Propunerea</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legislativă</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va</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avea</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efecte</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pozitive</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asupra</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mediului</w:t>
      </w:r>
      <w:proofErr w:type="spellEnd"/>
      <w:r w:rsidRPr="00B04EA7">
        <w:rPr>
          <w:rFonts w:eastAsiaTheme="minorHAnsi"/>
          <w:kern w:val="2"/>
          <w:bdr w:val="none" w:sz="0" w:space="0" w:color="auto"/>
          <w14:ligatures w14:val="standardContextual"/>
        </w:rPr>
        <w:t xml:space="preserve"> de </w:t>
      </w:r>
      <w:proofErr w:type="spellStart"/>
      <w:r w:rsidRPr="00B04EA7">
        <w:rPr>
          <w:rFonts w:eastAsiaTheme="minorHAnsi"/>
          <w:kern w:val="2"/>
          <w:bdr w:val="none" w:sz="0" w:space="0" w:color="auto"/>
          <w14:ligatures w14:val="standardContextual"/>
        </w:rPr>
        <w:t>afaceri</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prin</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îmbunătăţirea</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serviciilor</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consulare</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oferite</w:t>
      </w:r>
      <w:proofErr w:type="spellEnd"/>
      <w:r w:rsidRPr="00B04EA7">
        <w:rPr>
          <w:rFonts w:eastAsiaTheme="minorHAnsi"/>
          <w:kern w:val="2"/>
          <w:bdr w:val="none" w:sz="0" w:space="0" w:color="auto"/>
          <w14:ligatures w14:val="standardContextual"/>
        </w:rPr>
        <w:t xml:space="preserve"> de </w:t>
      </w:r>
      <w:proofErr w:type="spellStart"/>
      <w:r w:rsidRPr="00B04EA7">
        <w:rPr>
          <w:rFonts w:eastAsiaTheme="minorHAnsi"/>
          <w:kern w:val="2"/>
          <w:bdr w:val="none" w:sz="0" w:space="0" w:color="auto"/>
          <w14:ligatures w14:val="standardContextual"/>
        </w:rPr>
        <w:t>reţeaua</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externă</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şi</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prin</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consolidarea</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imaginii</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României</w:t>
      </w:r>
      <w:proofErr w:type="spellEnd"/>
      <w:r w:rsidRPr="00B04EA7">
        <w:rPr>
          <w:rFonts w:eastAsiaTheme="minorHAnsi"/>
          <w:kern w:val="2"/>
          <w:bdr w:val="none" w:sz="0" w:space="0" w:color="auto"/>
          <w14:ligatures w14:val="standardContextual"/>
        </w:rPr>
        <w:t xml:space="preserve"> ca </w:t>
      </w:r>
      <w:proofErr w:type="spellStart"/>
      <w:r w:rsidRPr="00B04EA7">
        <w:rPr>
          <w:rFonts w:eastAsiaTheme="minorHAnsi"/>
          <w:kern w:val="2"/>
          <w:bdr w:val="none" w:sz="0" w:space="0" w:color="auto"/>
          <w14:ligatures w14:val="standardContextual"/>
        </w:rPr>
        <w:t>destinaţie</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credibilă</w:t>
      </w:r>
      <w:proofErr w:type="spellEnd"/>
      <w:r w:rsidRPr="00B04EA7">
        <w:rPr>
          <w:rFonts w:eastAsiaTheme="minorHAnsi"/>
          <w:kern w:val="2"/>
          <w:bdr w:val="none" w:sz="0" w:space="0" w:color="auto"/>
          <w14:ligatures w14:val="standardContextual"/>
        </w:rPr>
        <w:t xml:space="preserve"> pentru </w:t>
      </w:r>
      <w:proofErr w:type="spellStart"/>
      <w:r w:rsidRPr="00B04EA7">
        <w:rPr>
          <w:rFonts w:eastAsiaTheme="minorHAnsi"/>
          <w:kern w:val="2"/>
          <w:bdr w:val="none" w:sz="0" w:space="0" w:color="auto"/>
          <w14:ligatures w14:val="standardContextual"/>
        </w:rPr>
        <w:t>investiţii</w:t>
      </w:r>
      <w:proofErr w:type="spellEnd"/>
      <w:r w:rsidRPr="00B04EA7">
        <w:rPr>
          <w:rFonts w:eastAsiaTheme="minorHAnsi"/>
          <w:kern w:val="2"/>
          <w:bdr w:val="none" w:sz="0" w:space="0" w:color="auto"/>
          <w14:ligatures w14:val="standardContextual"/>
        </w:rPr>
        <w:t xml:space="preserve">. Un </w:t>
      </w:r>
      <w:proofErr w:type="spellStart"/>
      <w:r w:rsidRPr="00B04EA7">
        <w:rPr>
          <w:rFonts w:eastAsiaTheme="minorHAnsi"/>
          <w:kern w:val="2"/>
          <w:bdr w:val="none" w:sz="0" w:space="0" w:color="auto"/>
          <w14:ligatures w14:val="standardContextual"/>
        </w:rPr>
        <w:t>corp</w:t>
      </w:r>
      <w:proofErr w:type="spellEnd"/>
      <w:r w:rsidRPr="00B04EA7">
        <w:rPr>
          <w:rFonts w:eastAsiaTheme="minorHAnsi"/>
          <w:kern w:val="2"/>
          <w:bdr w:val="none" w:sz="0" w:space="0" w:color="auto"/>
          <w14:ligatures w14:val="standardContextual"/>
        </w:rPr>
        <w:t xml:space="preserve"> diplomatic </w:t>
      </w:r>
      <w:proofErr w:type="spellStart"/>
      <w:r w:rsidRPr="00B04EA7">
        <w:rPr>
          <w:rFonts w:eastAsiaTheme="minorHAnsi"/>
          <w:kern w:val="2"/>
          <w:bdr w:val="none" w:sz="0" w:space="0" w:color="auto"/>
          <w14:ligatures w14:val="standardContextual"/>
        </w:rPr>
        <w:t>şi</w:t>
      </w:r>
      <w:proofErr w:type="spellEnd"/>
      <w:r w:rsidRPr="00B04EA7">
        <w:rPr>
          <w:rFonts w:eastAsiaTheme="minorHAnsi"/>
          <w:kern w:val="2"/>
          <w:bdr w:val="none" w:sz="0" w:space="0" w:color="auto"/>
          <w14:ligatures w14:val="standardContextual"/>
        </w:rPr>
        <w:t xml:space="preserve"> consular </w:t>
      </w:r>
      <w:proofErr w:type="spellStart"/>
      <w:r w:rsidRPr="00B04EA7">
        <w:rPr>
          <w:rFonts w:eastAsiaTheme="minorHAnsi"/>
          <w:kern w:val="2"/>
          <w:bdr w:val="none" w:sz="0" w:space="0" w:color="auto"/>
          <w14:ligatures w14:val="standardContextual"/>
        </w:rPr>
        <w:t>selectat</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în</w:t>
      </w:r>
      <w:proofErr w:type="spellEnd"/>
      <w:r w:rsidRPr="00B04EA7">
        <w:rPr>
          <w:rFonts w:eastAsiaTheme="minorHAnsi"/>
          <w:kern w:val="2"/>
          <w:bdr w:val="none" w:sz="0" w:space="0" w:color="auto"/>
          <w14:ligatures w14:val="standardContextual"/>
        </w:rPr>
        <w:t xml:space="preserve"> mod transparent </w:t>
      </w:r>
      <w:proofErr w:type="spellStart"/>
      <w:r w:rsidRPr="00B04EA7">
        <w:rPr>
          <w:rFonts w:eastAsiaTheme="minorHAnsi"/>
          <w:kern w:val="2"/>
          <w:bdr w:val="none" w:sz="0" w:space="0" w:color="auto"/>
          <w14:ligatures w14:val="standardContextual"/>
        </w:rPr>
        <w:t>şi</w:t>
      </w:r>
      <w:proofErr w:type="spellEnd"/>
      <w:r w:rsidRPr="00B04EA7">
        <w:rPr>
          <w:rFonts w:eastAsiaTheme="minorHAnsi"/>
          <w:kern w:val="2"/>
          <w:bdr w:val="none" w:sz="0" w:space="0" w:color="auto"/>
          <w14:ligatures w14:val="standardContextual"/>
        </w:rPr>
        <w:t xml:space="preserve"> pe </w:t>
      </w:r>
      <w:proofErr w:type="spellStart"/>
      <w:r w:rsidRPr="00B04EA7">
        <w:rPr>
          <w:rFonts w:eastAsiaTheme="minorHAnsi"/>
          <w:kern w:val="2"/>
          <w:bdr w:val="none" w:sz="0" w:space="0" w:color="auto"/>
          <w14:ligatures w14:val="standardContextual"/>
        </w:rPr>
        <w:t>baza</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competenţei</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va</w:t>
      </w:r>
      <w:proofErr w:type="spellEnd"/>
      <w:r w:rsidRPr="00B04EA7">
        <w:rPr>
          <w:rFonts w:eastAsiaTheme="minorHAnsi"/>
          <w:kern w:val="2"/>
          <w:bdr w:val="none" w:sz="0" w:space="0" w:color="auto"/>
          <w14:ligatures w14:val="standardContextual"/>
        </w:rPr>
        <w:t xml:space="preserve"> fi </w:t>
      </w:r>
      <w:proofErr w:type="spellStart"/>
      <w:r w:rsidRPr="00B04EA7">
        <w:rPr>
          <w:rFonts w:eastAsiaTheme="minorHAnsi"/>
          <w:kern w:val="2"/>
          <w:bdr w:val="none" w:sz="0" w:space="0" w:color="auto"/>
          <w14:ligatures w14:val="standardContextual"/>
        </w:rPr>
        <w:t>mai</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capabil</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să</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sprijine</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eficient</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companiile</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româneşti</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în</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expansiunea</w:t>
      </w:r>
      <w:proofErr w:type="spellEnd"/>
      <w:r w:rsidRPr="00B04EA7">
        <w:rPr>
          <w:rFonts w:eastAsiaTheme="minorHAnsi"/>
          <w:kern w:val="2"/>
          <w:bdr w:val="none" w:sz="0" w:space="0" w:color="auto"/>
          <w14:ligatures w14:val="standardContextual"/>
        </w:rPr>
        <w:t xml:space="preserve"> lor </w:t>
      </w:r>
      <w:proofErr w:type="spellStart"/>
      <w:r w:rsidRPr="00B04EA7">
        <w:rPr>
          <w:rFonts w:eastAsiaTheme="minorHAnsi"/>
          <w:kern w:val="2"/>
          <w:bdr w:val="none" w:sz="0" w:space="0" w:color="auto"/>
          <w14:ligatures w14:val="standardContextual"/>
        </w:rPr>
        <w:t>internaţională</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şi</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să</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atragă</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investitori</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străini</w:t>
      </w:r>
      <w:proofErr w:type="spellEnd"/>
      <w:r w:rsidRPr="00B04EA7">
        <w:rPr>
          <w:rFonts w:eastAsiaTheme="minorHAnsi"/>
          <w:kern w:val="2"/>
          <w:bdr w:val="none" w:sz="0" w:space="0" w:color="auto"/>
          <w14:ligatures w14:val="standardContextual"/>
        </w:rPr>
        <w:t>.</w:t>
      </w:r>
    </w:p>
    <w:p w14:paraId="1D6C9C97" w14:textId="77777777" w:rsidR="006F7A8A" w:rsidRPr="00B04EA7" w:rsidRDefault="006F7A8A" w:rsidP="006F7A8A">
      <w:pPr>
        <w:ind w:firstLine="720"/>
        <w:jc w:val="both"/>
        <w:rPr>
          <w:rFonts w:eastAsiaTheme="minorHAnsi"/>
          <w:kern w:val="2"/>
          <w:bdr w:val="none" w:sz="0" w:space="0" w:color="auto"/>
          <w14:ligatures w14:val="standardContextual"/>
        </w:rPr>
      </w:pPr>
      <w:r w:rsidRPr="00B04EA7">
        <w:rPr>
          <w:rFonts w:eastAsiaTheme="minorHAnsi"/>
          <w:kern w:val="2"/>
          <w:bdr w:val="none" w:sz="0" w:space="0" w:color="auto"/>
          <w14:ligatures w14:val="standardContextual"/>
        </w:rPr>
        <w:t xml:space="preserve">Din </w:t>
      </w:r>
      <w:proofErr w:type="spellStart"/>
      <w:r w:rsidRPr="00B04EA7">
        <w:rPr>
          <w:rFonts w:eastAsiaTheme="minorHAnsi"/>
          <w:kern w:val="2"/>
          <w:bdr w:val="none" w:sz="0" w:space="0" w:color="auto"/>
          <w14:ligatures w14:val="standardContextual"/>
        </w:rPr>
        <w:t>perspectiva</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impactului</w:t>
      </w:r>
      <w:proofErr w:type="spellEnd"/>
      <w:r w:rsidRPr="00B04EA7">
        <w:rPr>
          <w:rFonts w:eastAsiaTheme="minorHAnsi"/>
          <w:kern w:val="2"/>
          <w:bdr w:val="none" w:sz="0" w:space="0" w:color="auto"/>
          <w14:ligatures w14:val="standardContextual"/>
        </w:rPr>
        <w:t xml:space="preserve"> social, </w:t>
      </w:r>
      <w:proofErr w:type="spellStart"/>
      <w:r w:rsidRPr="00B04EA7">
        <w:rPr>
          <w:rFonts w:eastAsiaTheme="minorHAnsi"/>
          <w:kern w:val="2"/>
          <w:bdr w:val="none" w:sz="0" w:space="0" w:color="auto"/>
          <w14:ligatures w14:val="standardContextual"/>
        </w:rPr>
        <w:t>propunerea</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legislativă</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va</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contribui</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semnificativ</w:t>
      </w:r>
      <w:proofErr w:type="spellEnd"/>
      <w:r w:rsidRPr="00B04EA7">
        <w:rPr>
          <w:rFonts w:eastAsiaTheme="minorHAnsi"/>
          <w:kern w:val="2"/>
          <w:bdr w:val="none" w:sz="0" w:space="0" w:color="auto"/>
          <w14:ligatures w14:val="standardContextual"/>
        </w:rPr>
        <w:t xml:space="preserve"> la </w:t>
      </w:r>
      <w:proofErr w:type="spellStart"/>
      <w:r w:rsidRPr="00B04EA7">
        <w:rPr>
          <w:rFonts w:eastAsiaTheme="minorHAnsi"/>
          <w:kern w:val="2"/>
          <w:bdr w:val="none" w:sz="0" w:space="0" w:color="auto"/>
          <w14:ligatures w14:val="standardContextual"/>
        </w:rPr>
        <w:t>consolidarea</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încrederii</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cetăţenilor</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în</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instituţiile</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statului</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şi</w:t>
      </w:r>
      <w:proofErr w:type="spellEnd"/>
      <w:r w:rsidRPr="00B04EA7">
        <w:rPr>
          <w:rFonts w:eastAsiaTheme="minorHAnsi"/>
          <w:kern w:val="2"/>
          <w:bdr w:val="none" w:sz="0" w:space="0" w:color="auto"/>
          <w14:ligatures w14:val="standardContextual"/>
        </w:rPr>
        <w:t xml:space="preserve"> la </w:t>
      </w:r>
      <w:proofErr w:type="spellStart"/>
      <w:r w:rsidRPr="00B04EA7">
        <w:rPr>
          <w:rFonts w:eastAsiaTheme="minorHAnsi"/>
          <w:kern w:val="2"/>
          <w:bdr w:val="none" w:sz="0" w:space="0" w:color="auto"/>
          <w14:ligatures w14:val="standardContextual"/>
        </w:rPr>
        <w:t>întărirea</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principiilor</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democratice</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în</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administraţia</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publică</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Beneficiarii</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direcţi</w:t>
      </w:r>
      <w:proofErr w:type="spellEnd"/>
      <w:r w:rsidRPr="00B04EA7">
        <w:rPr>
          <w:rFonts w:eastAsiaTheme="minorHAnsi"/>
          <w:kern w:val="2"/>
          <w:bdr w:val="none" w:sz="0" w:space="0" w:color="auto"/>
          <w14:ligatures w14:val="standardContextual"/>
        </w:rPr>
        <w:t xml:space="preserve"> ai </w:t>
      </w:r>
      <w:proofErr w:type="spellStart"/>
      <w:r w:rsidRPr="00B04EA7">
        <w:rPr>
          <w:rFonts w:eastAsiaTheme="minorHAnsi"/>
          <w:kern w:val="2"/>
          <w:bdr w:val="none" w:sz="0" w:space="0" w:color="auto"/>
          <w14:ligatures w14:val="standardContextual"/>
        </w:rPr>
        <w:t>acestei</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măsuri</w:t>
      </w:r>
      <w:proofErr w:type="spellEnd"/>
      <w:r w:rsidRPr="00B04EA7">
        <w:rPr>
          <w:rFonts w:eastAsiaTheme="minorHAnsi"/>
          <w:kern w:val="2"/>
          <w:bdr w:val="none" w:sz="0" w:space="0" w:color="auto"/>
          <w14:ligatures w14:val="standardContextual"/>
        </w:rPr>
        <w:t xml:space="preserve"> sunt </w:t>
      </w:r>
      <w:proofErr w:type="spellStart"/>
      <w:r w:rsidRPr="00B04EA7">
        <w:rPr>
          <w:rFonts w:eastAsiaTheme="minorHAnsi"/>
          <w:kern w:val="2"/>
          <w:bdr w:val="none" w:sz="0" w:space="0" w:color="auto"/>
          <w14:ligatures w14:val="standardContextual"/>
        </w:rPr>
        <w:t>cetăţenii</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români</w:t>
      </w:r>
      <w:proofErr w:type="spellEnd"/>
      <w:r w:rsidRPr="00B04EA7">
        <w:rPr>
          <w:rFonts w:eastAsiaTheme="minorHAnsi"/>
          <w:kern w:val="2"/>
          <w:bdr w:val="none" w:sz="0" w:space="0" w:color="auto"/>
          <w14:ligatures w14:val="standardContextual"/>
        </w:rPr>
        <w:t xml:space="preserve"> din </w:t>
      </w:r>
      <w:proofErr w:type="spellStart"/>
      <w:r w:rsidRPr="00B04EA7">
        <w:rPr>
          <w:rFonts w:eastAsiaTheme="minorHAnsi"/>
          <w:kern w:val="2"/>
          <w:bdr w:val="none" w:sz="0" w:space="0" w:color="auto"/>
          <w14:ligatures w14:val="standardContextual"/>
        </w:rPr>
        <w:t>ţară</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şi</w:t>
      </w:r>
      <w:proofErr w:type="spellEnd"/>
      <w:r w:rsidRPr="00B04EA7">
        <w:rPr>
          <w:rFonts w:eastAsiaTheme="minorHAnsi"/>
          <w:kern w:val="2"/>
          <w:bdr w:val="none" w:sz="0" w:space="0" w:color="auto"/>
          <w14:ligatures w14:val="standardContextual"/>
        </w:rPr>
        <w:t xml:space="preserve"> din diaspora, care </w:t>
      </w:r>
      <w:proofErr w:type="spellStart"/>
      <w:r w:rsidRPr="00B04EA7">
        <w:rPr>
          <w:rFonts w:eastAsiaTheme="minorHAnsi"/>
          <w:kern w:val="2"/>
          <w:bdr w:val="none" w:sz="0" w:space="0" w:color="auto"/>
          <w14:ligatures w14:val="standardContextual"/>
        </w:rPr>
        <w:t>vor</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avea</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acces</w:t>
      </w:r>
      <w:proofErr w:type="spellEnd"/>
      <w:r w:rsidRPr="00B04EA7">
        <w:rPr>
          <w:rFonts w:eastAsiaTheme="minorHAnsi"/>
          <w:kern w:val="2"/>
          <w:bdr w:val="none" w:sz="0" w:space="0" w:color="auto"/>
          <w14:ligatures w14:val="standardContextual"/>
        </w:rPr>
        <w:t xml:space="preserve"> la o </w:t>
      </w:r>
      <w:proofErr w:type="spellStart"/>
      <w:r w:rsidRPr="00B04EA7">
        <w:rPr>
          <w:rFonts w:eastAsiaTheme="minorHAnsi"/>
          <w:kern w:val="2"/>
          <w:bdr w:val="none" w:sz="0" w:space="0" w:color="auto"/>
          <w14:ligatures w14:val="standardContextual"/>
        </w:rPr>
        <w:t>reprezentare</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diplomatică</w:t>
      </w:r>
      <w:proofErr w:type="spellEnd"/>
      <w:r w:rsidRPr="00B04EA7">
        <w:rPr>
          <w:rFonts w:eastAsiaTheme="minorHAnsi"/>
          <w:kern w:val="2"/>
          <w:bdr w:val="none" w:sz="0" w:space="0" w:color="auto"/>
          <w14:ligatures w14:val="standardContextual"/>
        </w:rPr>
        <w:t xml:space="preserve"> și </w:t>
      </w:r>
      <w:proofErr w:type="spellStart"/>
      <w:r w:rsidRPr="00B04EA7">
        <w:rPr>
          <w:rFonts w:eastAsiaTheme="minorHAnsi"/>
          <w:kern w:val="2"/>
          <w:bdr w:val="none" w:sz="0" w:space="0" w:color="auto"/>
          <w14:ligatures w14:val="standardContextual"/>
        </w:rPr>
        <w:t>consulară</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mai</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profesională</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şi</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mai</w:t>
      </w:r>
      <w:proofErr w:type="spellEnd"/>
      <w:r w:rsidRPr="00B04EA7">
        <w:rPr>
          <w:rFonts w:eastAsiaTheme="minorHAnsi"/>
          <w:kern w:val="2"/>
          <w:bdr w:val="none" w:sz="0" w:space="0" w:color="auto"/>
          <w14:ligatures w14:val="standardContextual"/>
        </w:rPr>
        <w:t xml:space="preserve"> </w:t>
      </w:r>
      <w:proofErr w:type="spellStart"/>
      <w:r w:rsidRPr="00B04EA7">
        <w:rPr>
          <w:rFonts w:eastAsiaTheme="minorHAnsi"/>
          <w:kern w:val="2"/>
          <w:bdr w:val="none" w:sz="0" w:space="0" w:color="auto"/>
          <w14:ligatures w14:val="standardContextual"/>
        </w:rPr>
        <w:t>transparentă</w:t>
      </w:r>
      <w:proofErr w:type="spellEnd"/>
      <w:r w:rsidRPr="00B04EA7">
        <w:rPr>
          <w:rFonts w:eastAsiaTheme="minorHAnsi"/>
          <w:kern w:val="2"/>
          <w:bdr w:val="none" w:sz="0" w:space="0" w:color="auto"/>
          <w14:ligatures w14:val="standardContextual"/>
        </w:rPr>
        <w:t>.</w:t>
      </w:r>
    </w:p>
    <w:p w14:paraId="6AC01443" w14:textId="77777777" w:rsidR="006F7A8A" w:rsidRPr="00071E16" w:rsidRDefault="006F7A8A" w:rsidP="006F7A8A">
      <w:pPr>
        <w:pStyle w:val="Corp"/>
        <w:tabs>
          <w:tab w:val="left" w:pos="567"/>
        </w:tabs>
        <w:spacing w:before="120" w:after="0" w:line="240" w:lineRule="auto"/>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ab/>
        <w:t xml:space="preserve">Membrii Comisiei pentru politică externă au analizat textul </w:t>
      </w:r>
      <w:r w:rsidRPr="00C61824">
        <w:rPr>
          <w:rFonts w:ascii="Times New Roman" w:eastAsia="Times New Roman" w:hAnsi="Times New Roman" w:cs="Times New Roman"/>
          <w:sz w:val="24"/>
          <w:szCs w:val="24"/>
          <w:lang w:val="ro-RO"/>
        </w:rPr>
        <w:t>legii trimisă la promulgare și Cererea de reexaminare formulată de Președintele României și au hotărât, cu majoritate de voturi (1 abținere), să admită obiecțiile Președintelui României din cererea de reexaminare și, în consecință, să adopte un aviz favorabil, fără amendamente, asupra acesteia.</w:t>
      </w:r>
    </w:p>
    <w:p w14:paraId="496502DE" w14:textId="3524F272" w:rsidR="00095C58" w:rsidRPr="00071E16" w:rsidRDefault="00095C58" w:rsidP="00095C58">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 xml:space="preserve">La dezbateri a participat, din partea Ministerului Afacerilor Externe, dna </w:t>
      </w:r>
      <w:r w:rsidR="006F7A8A">
        <w:rPr>
          <w:rFonts w:ascii="Times New Roman" w:eastAsia="Times New Roman" w:hAnsi="Times New Roman" w:cs="Times New Roman"/>
          <w:color w:val="auto"/>
          <w:sz w:val="24"/>
          <w:szCs w:val="24"/>
          <w:lang w:val="ro-RO"/>
        </w:rPr>
        <w:t>Irina Darie</w:t>
      </w:r>
      <w:r w:rsidRPr="00071E16">
        <w:rPr>
          <w:rFonts w:ascii="Times New Roman" w:eastAsia="Times New Roman" w:hAnsi="Times New Roman" w:cs="Times New Roman"/>
          <w:color w:val="auto"/>
          <w:sz w:val="24"/>
          <w:szCs w:val="24"/>
          <w:lang w:val="ro-RO"/>
        </w:rPr>
        <w:t>, având funcția de director.</w:t>
      </w:r>
    </w:p>
    <w:p w14:paraId="3A195CB3" w14:textId="71D396CF" w:rsidR="009C03F3" w:rsidRPr="00071E16" w:rsidRDefault="00095C58" w:rsidP="00095C58">
      <w:pPr>
        <w:pStyle w:val="Corp"/>
        <w:tabs>
          <w:tab w:val="left" w:pos="567"/>
        </w:tabs>
        <w:spacing w:before="120" w:after="0" w:line="240" w:lineRule="auto"/>
        <w:ind w:left="624"/>
        <w:jc w:val="both"/>
        <w:rPr>
          <w:rFonts w:ascii="Times New Roman" w:hAnsi="Times New Roman" w:cs="Times New Roman"/>
          <w:b/>
          <w:bCs/>
          <w:sz w:val="24"/>
          <w:szCs w:val="24"/>
          <w:lang w:val="ro-RO"/>
        </w:rPr>
      </w:pPr>
      <w:bookmarkStart w:id="3" w:name="_Hlk190777578"/>
      <w:bookmarkEnd w:id="2"/>
      <w:r>
        <w:rPr>
          <w:rFonts w:ascii="Times New Roman" w:hAnsi="Times New Roman" w:cs="Times New Roman"/>
          <w:b/>
          <w:bCs/>
          <w:sz w:val="24"/>
          <w:szCs w:val="24"/>
          <w:lang w:val="ro-RO"/>
        </w:rPr>
        <w:t>II</w:t>
      </w:r>
      <w:r>
        <w:rPr>
          <w:rFonts w:ascii="Times New Roman" w:hAnsi="Times New Roman" w:cs="Times New Roman"/>
          <w:b/>
          <w:bCs/>
          <w:sz w:val="24"/>
          <w:szCs w:val="24"/>
          <w:lang w:val="ro-RO"/>
        </w:rPr>
        <w:tab/>
      </w:r>
      <w:r w:rsidR="00F12E92" w:rsidRPr="00071E16">
        <w:rPr>
          <w:rFonts w:ascii="Times New Roman" w:hAnsi="Times New Roman" w:cs="Times New Roman"/>
          <w:b/>
          <w:bCs/>
          <w:sz w:val="24"/>
          <w:szCs w:val="24"/>
          <w:lang w:val="ro-RO"/>
        </w:rPr>
        <w:t>Au fost dezbătute următoarele</w:t>
      </w:r>
      <w:r w:rsidR="00F12E92" w:rsidRPr="00071E16">
        <w:rPr>
          <w:rFonts w:ascii="Times New Roman" w:hAnsi="Times New Roman" w:cs="Times New Roman"/>
          <w:sz w:val="24"/>
          <w:szCs w:val="24"/>
          <w:lang w:val="ro-RO"/>
        </w:rPr>
        <w:t xml:space="preserve"> </w:t>
      </w:r>
      <w:r w:rsidR="009C03F3" w:rsidRPr="00071E16">
        <w:rPr>
          <w:rFonts w:ascii="Times New Roman" w:hAnsi="Times New Roman" w:cs="Times New Roman"/>
          <w:b/>
          <w:bCs/>
          <w:sz w:val="24"/>
          <w:szCs w:val="24"/>
          <w:lang w:val="ro-RO"/>
        </w:rPr>
        <w:t>C</w:t>
      </w:r>
      <w:r w:rsidR="00F12E92" w:rsidRPr="00071E16">
        <w:rPr>
          <w:rFonts w:ascii="Times New Roman" w:hAnsi="Times New Roman" w:cs="Times New Roman"/>
          <w:b/>
          <w:bCs/>
          <w:sz w:val="24"/>
          <w:szCs w:val="24"/>
          <w:lang w:val="ro-RO"/>
        </w:rPr>
        <w:t>omunicări</w:t>
      </w:r>
      <w:r w:rsidR="009C03F3" w:rsidRPr="00071E16">
        <w:rPr>
          <w:rFonts w:ascii="Times New Roman" w:hAnsi="Times New Roman" w:cs="Times New Roman"/>
          <w:b/>
          <w:bCs/>
          <w:sz w:val="24"/>
          <w:szCs w:val="24"/>
          <w:lang w:val="ro-RO"/>
        </w:rPr>
        <w:t xml:space="preserve"> europene</w:t>
      </w:r>
      <w:r w:rsidR="00F12E92" w:rsidRPr="00071E16">
        <w:rPr>
          <w:rFonts w:ascii="Times New Roman" w:hAnsi="Times New Roman" w:cs="Times New Roman"/>
          <w:b/>
          <w:bCs/>
          <w:sz w:val="24"/>
          <w:szCs w:val="24"/>
          <w:lang w:val="ro-RO"/>
        </w:rPr>
        <w:t>:</w:t>
      </w:r>
    </w:p>
    <w:p w14:paraId="50B2461F" w14:textId="30318F56" w:rsidR="00AE23EA" w:rsidRPr="00071E16" w:rsidRDefault="00AE23EA" w:rsidP="00AE23EA">
      <w:pPr>
        <w:pStyle w:val="Corp"/>
        <w:numPr>
          <w:ilvl w:val="0"/>
          <w:numId w:val="20"/>
        </w:numPr>
        <w:spacing w:before="120" w:after="0" w:line="240" w:lineRule="auto"/>
        <w:jc w:val="both"/>
        <w:rPr>
          <w:rFonts w:ascii="Times New Roman" w:eastAsia="Times New Roman" w:hAnsi="Times New Roman" w:cs="Times New Roman"/>
          <w:b/>
          <w:bCs/>
          <w:sz w:val="24"/>
          <w:szCs w:val="24"/>
          <w:lang w:val="ro-RO"/>
        </w:rPr>
      </w:pPr>
      <w:r w:rsidRPr="00071E16">
        <w:rPr>
          <w:rFonts w:ascii="Times New Roman" w:eastAsia="Times New Roman" w:hAnsi="Times New Roman" w:cs="Times New Roman"/>
          <w:b/>
          <w:bCs/>
          <w:sz w:val="24"/>
          <w:szCs w:val="24"/>
          <w:lang w:val="ro-RO"/>
        </w:rPr>
        <w:t>COM (2025) 5</w:t>
      </w:r>
      <w:r w:rsidR="00445E0E">
        <w:rPr>
          <w:rFonts w:ascii="Times New Roman" w:eastAsia="Times New Roman" w:hAnsi="Times New Roman" w:cs="Times New Roman"/>
          <w:b/>
          <w:bCs/>
          <w:sz w:val="24"/>
          <w:szCs w:val="24"/>
          <w:lang w:val="ro-RO"/>
        </w:rPr>
        <w:t>51</w:t>
      </w:r>
      <w:r w:rsidRPr="00071E16">
        <w:rPr>
          <w:rFonts w:ascii="Times New Roman" w:eastAsia="Times New Roman" w:hAnsi="Times New Roman" w:cs="Times New Roman"/>
          <w:b/>
          <w:bCs/>
          <w:sz w:val="24"/>
          <w:szCs w:val="24"/>
          <w:lang w:val="ro-RO"/>
        </w:rPr>
        <w:t xml:space="preserve"> final - </w:t>
      </w:r>
      <w:r w:rsidR="00445E0E" w:rsidRPr="00445E0E">
        <w:rPr>
          <w:rFonts w:ascii="Times New Roman" w:eastAsia="Times New Roman" w:hAnsi="Times New Roman" w:cs="Times New Roman"/>
          <w:b/>
          <w:bCs/>
          <w:sz w:val="24"/>
          <w:szCs w:val="24"/>
          <w:lang w:val="ro-RO"/>
        </w:rPr>
        <w:t>Propunere de Regulament al Parlamentului European și al Consiliului de instituire a instrumentului „Europa globală”</w:t>
      </w:r>
      <w:r w:rsidR="00F4108F" w:rsidRPr="00071E16">
        <w:rPr>
          <w:rFonts w:ascii="Times New Roman" w:eastAsia="Times New Roman" w:hAnsi="Times New Roman" w:cs="Times New Roman"/>
          <w:b/>
          <w:bCs/>
          <w:sz w:val="24"/>
          <w:szCs w:val="24"/>
          <w:lang w:val="ro-RO"/>
        </w:rPr>
        <w:t>.</w:t>
      </w:r>
    </w:p>
    <w:p w14:paraId="6139A3BF" w14:textId="77777777" w:rsidR="006B20C8" w:rsidRPr="006B20C8" w:rsidRDefault="00F4108F" w:rsidP="006B20C8">
      <w:pPr>
        <w:pStyle w:val="Corp"/>
        <w:spacing w:before="120" w:after="0"/>
        <w:ind w:firstLine="720"/>
        <w:jc w:val="both"/>
        <w:rPr>
          <w:rFonts w:ascii="Times New Roman" w:hAnsi="Times New Roman" w:cs="Times New Roman"/>
          <w:sz w:val="24"/>
          <w:szCs w:val="24"/>
          <w:lang w:val="ro-RO"/>
        </w:rPr>
      </w:pPr>
      <w:r w:rsidRPr="00071E16">
        <w:rPr>
          <w:rFonts w:ascii="Times New Roman" w:hAnsi="Times New Roman" w:cs="Times New Roman"/>
          <w:sz w:val="24"/>
          <w:szCs w:val="24"/>
          <w:lang w:val="ro-RO"/>
        </w:rPr>
        <w:t xml:space="preserve">Obiectivele propunerii: </w:t>
      </w:r>
      <w:r w:rsidR="006B20C8" w:rsidRPr="006B20C8">
        <w:rPr>
          <w:rFonts w:ascii="Times New Roman" w:hAnsi="Times New Roman" w:cs="Times New Roman"/>
          <w:sz w:val="24"/>
          <w:szCs w:val="24"/>
          <w:lang w:val="ro-RO"/>
        </w:rPr>
        <w:t>Prezenta propunere este prezentată în contextul rubricii externe a Cadrului financiar multianual (CFM) 2028-2034. Regulamentul propus instituie instrumentul „Europa globală”. Acesta stabilește obiectivele Instrumentului, bugetul pentru perioada 2028-2034, formele de finanțare din partea Uniunii și regulile de acordare a acestei finanțări.</w:t>
      </w:r>
    </w:p>
    <w:p w14:paraId="7B4BCDF8" w14:textId="77777777" w:rsidR="006B20C8" w:rsidRPr="006B20C8" w:rsidRDefault="006B20C8" w:rsidP="006B20C8">
      <w:pPr>
        <w:pStyle w:val="Corp"/>
        <w:spacing w:after="0"/>
        <w:ind w:firstLine="720"/>
        <w:jc w:val="both"/>
        <w:rPr>
          <w:rFonts w:ascii="Times New Roman" w:hAnsi="Times New Roman" w:cs="Times New Roman"/>
          <w:sz w:val="24"/>
          <w:szCs w:val="24"/>
          <w:lang w:val="ro-RO"/>
        </w:rPr>
      </w:pPr>
      <w:r w:rsidRPr="006B20C8">
        <w:rPr>
          <w:rFonts w:ascii="Times New Roman" w:hAnsi="Times New Roman" w:cs="Times New Roman"/>
          <w:sz w:val="24"/>
          <w:szCs w:val="24"/>
          <w:lang w:val="ro-RO"/>
        </w:rPr>
        <w:t>Instrumentul „Europa globală” va reuni mai multe instrumente de finanțare pentru politica externă existente în cadrul CFM actual (Instrumentului de vecinătate, cooperare pentru dezvoltare și cooperare internațională - „Europa globală” (IVCDCI – Europa globală), Instrumentului de asistență pentru preaderare – IPA III, ajutor umanitar, Mecanismul pentru Ucraina și Mecanismele pentru reformă și creștere pentru Balcanii de Vest și Moldova) într-un singur cadru, pentru a face față provocărilor unui context geopolitic din ce în ce mai dificil, fragil și volatil, continuând totodată să promoveze interesele și valorile UE.</w:t>
      </w:r>
    </w:p>
    <w:p w14:paraId="2629AADE" w14:textId="77777777" w:rsidR="006B20C8" w:rsidRPr="006B20C8" w:rsidRDefault="006B20C8" w:rsidP="006B20C8">
      <w:pPr>
        <w:pStyle w:val="Corp"/>
        <w:spacing w:after="0"/>
        <w:ind w:firstLine="720"/>
        <w:jc w:val="both"/>
        <w:rPr>
          <w:rFonts w:ascii="Times New Roman" w:hAnsi="Times New Roman" w:cs="Times New Roman"/>
          <w:sz w:val="24"/>
          <w:szCs w:val="24"/>
          <w:lang w:val="ro-RO"/>
        </w:rPr>
      </w:pPr>
      <w:r w:rsidRPr="006B20C8">
        <w:rPr>
          <w:rFonts w:ascii="Times New Roman" w:hAnsi="Times New Roman" w:cs="Times New Roman"/>
          <w:sz w:val="24"/>
          <w:szCs w:val="24"/>
          <w:lang w:val="ro-RO"/>
        </w:rPr>
        <w:t xml:space="preserve">Acest instrument va contribui la obiectivele acțiunii externe a UE, prin promovarea unor parteneriate reciproc avantajoase cu țările partenere, contribuind simultan la dezvoltarea durabilă </w:t>
      </w:r>
      <w:r w:rsidRPr="006B20C8">
        <w:rPr>
          <w:rFonts w:ascii="Times New Roman" w:hAnsi="Times New Roman" w:cs="Times New Roman"/>
          <w:sz w:val="24"/>
          <w:szCs w:val="24"/>
          <w:lang w:val="ro-RO"/>
        </w:rPr>
        <w:lastRenderedPageBreak/>
        <w:t>a țărilor partenere și la interesele strategice ale Uniunii și va permite, de asemenea, Uniunii să fie mai bine poziționată pentru a aborda provocările globale.</w:t>
      </w:r>
    </w:p>
    <w:p w14:paraId="278CBF39" w14:textId="77777777" w:rsidR="006B20C8" w:rsidRPr="006B20C8" w:rsidRDefault="006B20C8" w:rsidP="006B20C8">
      <w:pPr>
        <w:pStyle w:val="Corp"/>
        <w:spacing w:after="0"/>
        <w:ind w:firstLine="720"/>
        <w:jc w:val="both"/>
        <w:rPr>
          <w:rFonts w:ascii="Times New Roman" w:hAnsi="Times New Roman" w:cs="Times New Roman"/>
          <w:sz w:val="24"/>
          <w:szCs w:val="24"/>
          <w:lang w:val="ro-RO"/>
        </w:rPr>
      </w:pPr>
      <w:r w:rsidRPr="006B20C8">
        <w:rPr>
          <w:rFonts w:ascii="Times New Roman" w:hAnsi="Times New Roman" w:cs="Times New Roman"/>
          <w:sz w:val="24"/>
          <w:szCs w:val="24"/>
          <w:lang w:val="ro-RO"/>
        </w:rPr>
        <w:t>Acesta are la bază patru principii directoare principale, respectiv simplificarea arhitecturii rubricii externe, coerența acțiunii, flexibilitatea instrumentului și impactul acțiunii UE.</w:t>
      </w:r>
    </w:p>
    <w:p w14:paraId="18789F7B" w14:textId="5D90A680" w:rsidR="00F4108F" w:rsidRPr="00071E16" w:rsidRDefault="006B20C8" w:rsidP="006B20C8">
      <w:pPr>
        <w:pStyle w:val="Corp"/>
        <w:spacing w:after="0" w:line="240" w:lineRule="auto"/>
        <w:ind w:firstLine="720"/>
        <w:jc w:val="both"/>
        <w:rPr>
          <w:rFonts w:ascii="Times New Roman" w:hAnsi="Times New Roman" w:cs="Times New Roman"/>
          <w:sz w:val="24"/>
          <w:szCs w:val="24"/>
          <w:lang w:val="ro-RO"/>
        </w:rPr>
      </w:pPr>
      <w:r w:rsidRPr="006B20C8">
        <w:rPr>
          <w:rFonts w:ascii="Times New Roman" w:hAnsi="Times New Roman" w:cs="Times New Roman"/>
          <w:sz w:val="24"/>
          <w:szCs w:val="24"/>
          <w:lang w:val="ro-RO"/>
        </w:rPr>
        <w:t>Alocarea financiară pentru implementarea Instrumentului în perioada 1 ianuarie 2028 – 31 decembrie 2034 va fi de 200,3 miliarde EUR. În plus, vor fi puse la dispoziție prin intermediul Instrumentului resurse financiare pentru Ucraina sub formă de împrumuturi de până la 100 de miliarde EUR.</w:t>
      </w:r>
    </w:p>
    <w:p w14:paraId="50B9BEAA" w14:textId="2D2C3562" w:rsidR="00F4108F" w:rsidRPr="00071E16" w:rsidRDefault="00F4108F" w:rsidP="00F4108F">
      <w:pPr>
        <w:pStyle w:val="Corp"/>
        <w:spacing w:before="120" w:after="0" w:line="240" w:lineRule="auto"/>
        <w:ind w:firstLine="720"/>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Membrii Comisiei pentru politică externă au analizat textul documentului și au hotărât, cu unanimitate de voturi, să adopte un proces-verbal.</w:t>
      </w:r>
    </w:p>
    <w:p w14:paraId="7E07DF6E" w14:textId="40408BBE" w:rsidR="00F4108F" w:rsidRPr="00071E16" w:rsidRDefault="00AE23EA" w:rsidP="00F4108F">
      <w:pPr>
        <w:pStyle w:val="Corp"/>
        <w:numPr>
          <w:ilvl w:val="0"/>
          <w:numId w:val="20"/>
        </w:numPr>
        <w:spacing w:before="120" w:after="0" w:line="240" w:lineRule="auto"/>
        <w:jc w:val="both"/>
        <w:rPr>
          <w:rFonts w:ascii="Times New Roman" w:eastAsia="Times New Roman" w:hAnsi="Times New Roman" w:cs="Times New Roman"/>
          <w:b/>
          <w:bCs/>
          <w:sz w:val="24"/>
          <w:szCs w:val="24"/>
          <w:lang w:val="ro-RO"/>
        </w:rPr>
      </w:pPr>
      <w:r w:rsidRPr="00071E16">
        <w:rPr>
          <w:rFonts w:ascii="Times New Roman" w:eastAsia="Times New Roman" w:hAnsi="Times New Roman" w:cs="Times New Roman"/>
          <w:b/>
          <w:bCs/>
          <w:sz w:val="24"/>
          <w:szCs w:val="24"/>
          <w:lang w:val="ro-RO"/>
        </w:rPr>
        <w:t>COM (2025) 5</w:t>
      </w:r>
      <w:r w:rsidR="00820C7D">
        <w:rPr>
          <w:rFonts w:ascii="Times New Roman" w:eastAsia="Times New Roman" w:hAnsi="Times New Roman" w:cs="Times New Roman"/>
          <w:b/>
          <w:bCs/>
          <w:sz w:val="24"/>
          <w:szCs w:val="24"/>
          <w:lang w:val="ro-RO"/>
        </w:rPr>
        <w:t>99</w:t>
      </w:r>
      <w:r w:rsidRPr="00071E16">
        <w:rPr>
          <w:rFonts w:ascii="Times New Roman" w:eastAsia="Times New Roman" w:hAnsi="Times New Roman" w:cs="Times New Roman"/>
          <w:b/>
          <w:bCs/>
          <w:sz w:val="24"/>
          <w:szCs w:val="24"/>
          <w:lang w:val="ro-RO"/>
        </w:rPr>
        <w:t xml:space="preserve"> final - </w:t>
      </w:r>
      <w:r w:rsidR="00820C7D" w:rsidRPr="00820C7D">
        <w:rPr>
          <w:rFonts w:ascii="Times New Roman" w:eastAsia="Times New Roman" w:hAnsi="Times New Roman" w:cs="Times New Roman"/>
          <w:b/>
          <w:bCs/>
          <w:sz w:val="24"/>
          <w:szCs w:val="24"/>
          <w:lang w:val="ro-RO"/>
        </w:rPr>
        <w:t>Propunere de Decizie a Consiliului de modificare a Deciziei (UE) 2021/1764 privind asocierea țărilor și teritoriilor de peste mări la Uniunea Europeană, inclusiv relațiile dintre Uniunea Europeană, pe de o parte, și Groenlanda și Regatul Danemarcei, pe de altă parte</w:t>
      </w:r>
      <w:r w:rsidR="00820C7D">
        <w:rPr>
          <w:rFonts w:ascii="Times New Roman" w:eastAsia="Times New Roman" w:hAnsi="Times New Roman" w:cs="Times New Roman"/>
          <w:b/>
          <w:bCs/>
          <w:sz w:val="24"/>
          <w:szCs w:val="24"/>
          <w:lang w:val="ro-RO"/>
        </w:rPr>
        <w:t>.</w:t>
      </w:r>
    </w:p>
    <w:p w14:paraId="10A289AB" w14:textId="307B8A95" w:rsidR="00820C7D" w:rsidRPr="00820C7D" w:rsidRDefault="00F4108F" w:rsidP="00820C7D">
      <w:pPr>
        <w:pStyle w:val="Corp"/>
        <w:tabs>
          <w:tab w:val="left" w:pos="720"/>
        </w:tabs>
        <w:spacing w:before="120" w:after="0"/>
        <w:jc w:val="both"/>
        <w:rPr>
          <w:rFonts w:ascii="Times New Roman" w:hAnsi="Times New Roman" w:cs="Times New Roman"/>
          <w:sz w:val="24"/>
          <w:szCs w:val="24"/>
          <w:lang w:val="ro-RO"/>
        </w:rPr>
      </w:pPr>
      <w:r w:rsidRPr="00071E16">
        <w:rPr>
          <w:rFonts w:ascii="Times New Roman" w:hAnsi="Times New Roman" w:cs="Times New Roman"/>
          <w:sz w:val="24"/>
          <w:szCs w:val="24"/>
          <w:lang w:val="ro-RO"/>
        </w:rPr>
        <w:tab/>
        <w:t>Obiectivele propuneri</w:t>
      </w:r>
      <w:r w:rsidR="00B07D18" w:rsidRPr="00071E16">
        <w:rPr>
          <w:rFonts w:ascii="Times New Roman" w:hAnsi="Times New Roman" w:cs="Times New Roman"/>
          <w:sz w:val="24"/>
          <w:szCs w:val="24"/>
          <w:lang w:val="ro-RO"/>
        </w:rPr>
        <w:t>i</w:t>
      </w:r>
      <w:r w:rsidRPr="00071E16">
        <w:rPr>
          <w:rFonts w:ascii="Times New Roman" w:hAnsi="Times New Roman" w:cs="Times New Roman"/>
          <w:sz w:val="24"/>
          <w:szCs w:val="24"/>
          <w:lang w:val="ro-RO"/>
        </w:rPr>
        <w:t xml:space="preserve">: </w:t>
      </w:r>
      <w:r w:rsidR="00820C7D" w:rsidRPr="00820C7D">
        <w:rPr>
          <w:rFonts w:ascii="Times New Roman" w:hAnsi="Times New Roman" w:cs="Times New Roman"/>
          <w:sz w:val="24"/>
          <w:szCs w:val="24"/>
          <w:lang w:val="ro-RO"/>
        </w:rPr>
        <w:t>Prezenta propunere este formulată în contextul Cadrului financiar multianual (CFM) 2028-2034, care are ambiția politică de a răspunde priorităților Uniunii, acționând totodată cu forță și unitate pe scena globală în următorul deceniu.</w:t>
      </w:r>
      <w:r w:rsidR="00820C7D">
        <w:rPr>
          <w:rFonts w:ascii="Times New Roman" w:hAnsi="Times New Roman" w:cs="Times New Roman"/>
          <w:sz w:val="24"/>
          <w:szCs w:val="24"/>
          <w:lang w:val="ro-RO"/>
        </w:rPr>
        <w:tab/>
      </w:r>
    </w:p>
    <w:p w14:paraId="46881347" w14:textId="6BCACBCA" w:rsidR="00820C7D" w:rsidRPr="00820C7D" w:rsidRDefault="00820C7D" w:rsidP="00820C7D">
      <w:pPr>
        <w:pStyle w:val="Corp"/>
        <w:tabs>
          <w:tab w:val="left" w:pos="72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820C7D">
        <w:rPr>
          <w:rFonts w:ascii="Times New Roman" w:hAnsi="Times New Roman" w:cs="Times New Roman"/>
          <w:sz w:val="24"/>
          <w:szCs w:val="24"/>
          <w:lang w:val="ro-RO"/>
        </w:rPr>
        <w:t>Cele 13 țări și teritorii de peste mări (TTPM), afiliate Danemarcei, Franței și Țărilor de Jos, reprezintă aproximativ 1 milion de locuitori și dețin cea mai mare zonă economică exclusivă (ZEE) din lume (15 milioane km²). Acestea nu fac parte din UE, din piața unică sau din spațiul Schengen, însă locuitorii lor sunt cetățeni europeni.</w:t>
      </w:r>
    </w:p>
    <w:p w14:paraId="6D58606F" w14:textId="0E8051B2" w:rsidR="00820C7D" w:rsidRPr="00820C7D" w:rsidRDefault="00820C7D" w:rsidP="00820C7D">
      <w:pPr>
        <w:pStyle w:val="Corp"/>
        <w:tabs>
          <w:tab w:val="left" w:pos="720"/>
        </w:tabs>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820C7D">
        <w:rPr>
          <w:rFonts w:ascii="Times New Roman" w:hAnsi="Times New Roman" w:cs="Times New Roman"/>
          <w:sz w:val="24"/>
          <w:szCs w:val="24"/>
          <w:lang w:val="ro-RO"/>
        </w:rPr>
        <w:t>Propunerea are ca scop modificarea Deciziei (UE) 2021/1764 pentru a asigura continuarea parteneriatului dintre Uniune și țările și teritoriile de peste mări (TTPM) în cadrul viitorului Cadru financiar multianual (CFM) 2028-2034. Modificarea se va axa pe programul de finanțare și pe alte dispoziții selectate ale Deciziei privind asocierea peste mări, inclusiv Groenlanda (DOAG), pentru a dezvolta în continuare dimensiunea strategică și a asigura un impact sporit, îndeplinind în același timp obiectivele parteneriatului UE-TTPM.</w:t>
      </w:r>
    </w:p>
    <w:p w14:paraId="04EA5752" w14:textId="5DF8F214" w:rsidR="00F4108F" w:rsidRPr="00071E16" w:rsidRDefault="00820C7D" w:rsidP="00820C7D">
      <w:pPr>
        <w:pStyle w:val="Corp"/>
        <w:tabs>
          <w:tab w:val="left" w:pos="720"/>
        </w:tabs>
        <w:spacing w:before="120"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820C7D">
        <w:rPr>
          <w:rFonts w:ascii="Times New Roman" w:hAnsi="Times New Roman" w:cs="Times New Roman"/>
          <w:sz w:val="24"/>
          <w:szCs w:val="24"/>
          <w:lang w:val="ro-RO"/>
        </w:rPr>
        <w:t>Comisia Europeană propune alocarea unei sume indicative de 999 milioane EUR (la prețuri curente) pentru programul de finanțare al asocierii pentru perioada 2028-2034.</w:t>
      </w:r>
    </w:p>
    <w:p w14:paraId="63BBD0F2" w14:textId="02883879" w:rsidR="00F4108F" w:rsidRPr="00071E16" w:rsidRDefault="00F4108F" w:rsidP="00F4108F">
      <w:pPr>
        <w:pStyle w:val="Corp"/>
        <w:tabs>
          <w:tab w:val="left" w:pos="567"/>
        </w:tabs>
        <w:spacing w:before="120" w:after="0"/>
        <w:jc w:val="both"/>
        <w:rPr>
          <w:rFonts w:ascii="Times New Roman" w:eastAsia="Times New Roman" w:hAnsi="Times New Roman" w:cs="Times New Roman"/>
          <w:sz w:val="24"/>
          <w:szCs w:val="24"/>
          <w:lang w:val="ro-RO"/>
        </w:rPr>
      </w:pPr>
      <w:r w:rsidRPr="00071E16">
        <w:rPr>
          <w:rFonts w:ascii="Times New Roman" w:hAnsi="Times New Roman" w:cs="Times New Roman"/>
          <w:sz w:val="24"/>
          <w:szCs w:val="24"/>
          <w:lang w:val="ro-RO"/>
        </w:rPr>
        <w:tab/>
      </w:r>
      <w:r w:rsidRPr="00071E16">
        <w:rPr>
          <w:rFonts w:ascii="Times New Roman" w:hAnsi="Times New Roman" w:cs="Times New Roman"/>
          <w:sz w:val="24"/>
          <w:szCs w:val="24"/>
          <w:lang w:val="ro-RO"/>
        </w:rPr>
        <w:tab/>
      </w:r>
      <w:r w:rsidRPr="00071E16">
        <w:rPr>
          <w:rFonts w:ascii="Times New Roman" w:eastAsia="Times New Roman" w:hAnsi="Times New Roman" w:cs="Times New Roman"/>
          <w:sz w:val="24"/>
          <w:szCs w:val="24"/>
          <w:lang w:val="ro-RO"/>
        </w:rPr>
        <w:t>Membrii Comisiei pentru politică externă au analizat textul documentului și au hotărât, cu unanimitate de voturi, să adopte un proces-verbal.</w:t>
      </w:r>
    </w:p>
    <w:p w14:paraId="4E18A85E" w14:textId="2D0F2AC0" w:rsidR="00F12E92" w:rsidRPr="00071E16" w:rsidRDefault="00095C58" w:rsidP="00095C58">
      <w:pPr>
        <w:pStyle w:val="Corp"/>
        <w:tabs>
          <w:tab w:val="left" w:pos="567"/>
        </w:tabs>
        <w:spacing w:before="120" w:after="0" w:line="240" w:lineRule="auto"/>
        <w:ind w:left="624"/>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III</w:t>
      </w:r>
      <w:r>
        <w:rPr>
          <w:rFonts w:ascii="Times New Roman" w:hAnsi="Times New Roman" w:cs="Times New Roman"/>
          <w:b/>
          <w:bCs/>
          <w:sz w:val="24"/>
          <w:szCs w:val="24"/>
          <w:lang w:val="ro-RO"/>
        </w:rPr>
        <w:tab/>
      </w:r>
      <w:r w:rsidR="00F12E92" w:rsidRPr="00071E16">
        <w:rPr>
          <w:rFonts w:ascii="Times New Roman" w:hAnsi="Times New Roman" w:cs="Times New Roman"/>
          <w:b/>
          <w:bCs/>
          <w:sz w:val="24"/>
          <w:szCs w:val="24"/>
          <w:lang w:val="ro-RO"/>
        </w:rPr>
        <w:t xml:space="preserve">A fost dezbătut </w:t>
      </w:r>
      <w:r w:rsidR="008F1723" w:rsidRPr="00071E16">
        <w:rPr>
          <w:rFonts w:ascii="Times New Roman" w:hAnsi="Times New Roman" w:cs="Times New Roman"/>
          <w:b/>
          <w:bCs/>
          <w:sz w:val="24"/>
          <w:szCs w:val="24"/>
          <w:lang w:val="ro-RO"/>
        </w:rPr>
        <w:t>următor</w:t>
      </w:r>
      <w:r w:rsidR="006F7A8A">
        <w:rPr>
          <w:rFonts w:ascii="Times New Roman" w:hAnsi="Times New Roman" w:cs="Times New Roman"/>
          <w:b/>
          <w:bCs/>
          <w:sz w:val="24"/>
          <w:szCs w:val="24"/>
          <w:lang w:val="ro-RO"/>
        </w:rPr>
        <w:t>ul</w:t>
      </w:r>
      <w:r w:rsidR="008F1723" w:rsidRPr="00071E16">
        <w:rPr>
          <w:rFonts w:ascii="Times New Roman" w:hAnsi="Times New Roman" w:cs="Times New Roman"/>
          <w:b/>
          <w:bCs/>
          <w:sz w:val="24"/>
          <w:szCs w:val="24"/>
          <w:lang w:val="ro-RO"/>
        </w:rPr>
        <w:t xml:space="preserve"> </w:t>
      </w:r>
      <w:r w:rsidR="00F12E92" w:rsidRPr="00071E16">
        <w:rPr>
          <w:rFonts w:ascii="Times New Roman" w:hAnsi="Times New Roman" w:cs="Times New Roman"/>
          <w:b/>
          <w:bCs/>
          <w:sz w:val="24"/>
          <w:szCs w:val="24"/>
          <w:lang w:val="ro-RO"/>
        </w:rPr>
        <w:t>memorandum:</w:t>
      </w:r>
    </w:p>
    <w:p w14:paraId="488AB639" w14:textId="050EF59E" w:rsidR="00C4566A" w:rsidRPr="00071E16" w:rsidRDefault="00C4566A" w:rsidP="00C4566A">
      <w:pPr>
        <w:pStyle w:val="ListParagraph"/>
        <w:spacing w:before="120" w:after="240"/>
        <w:ind w:left="984"/>
        <w:jc w:val="both"/>
        <w:rPr>
          <w:b/>
          <w:bCs/>
          <w:lang w:val="ro-RO"/>
        </w:rPr>
      </w:pPr>
      <w:bookmarkStart w:id="4" w:name="_Hlk207618094"/>
      <w:bookmarkEnd w:id="3"/>
      <w:r w:rsidRPr="00071E16">
        <w:rPr>
          <w:b/>
          <w:bCs/>
          <w:lang w:val="ro-RO"/>
        </w:rPr>
        <w:t>Membrii comisiei au dezbătut și avizat favorabil, cu unanimitate de voturi, următor</w:t>
      </w:r>
      <w:r w:rsidR="006F7A8A">
        <w:rPr>
          <w:b/>
          <w:bCs/>
          <w:lang w:val="ro-RO"/>
        </w:rPr>
        <w:t>u</w:t>
      </w:r>
      <w:r w:rsidRPr="00071E16">
        <w:rPr>
          <w:b/>
          <w:bCs/>
          <w:lang w:val="ro-RO"/>
        </w:rPr>
        <w:t>l memorandum aferent unor acțiuni parlamentare de relații externe:</w:t>
      </w:r>
    </w:p>
    <w:bookmarkEnd w:id="4"/>
    <w:p w14:paraId="0C7D8B3E" w14:textId="0D29F24E" w:rsidR="00C4566A" w:rsidRPr="00071E16" w:rsidRDefault="00003EBE" w:rsidP="00C4566A">
      <w:pPr>
        <w:pStyle w:val="Style2"/>
        <w:numPr>
          <w:ilvl w:val="0"/>
          <w:numId w:val="24"/>
        </w:numPr>
        <w:spacing w:after="240" w:line="240" w:lineRule="auto"/>
        <w:jc w:val="both"/>
        <w:rPr>
          <w:rFonts w:ascii="Times New Roman" w:hAnsi="Times New Roman" w:cs="Times New Roman"/>
          <w:bCs/>
          <w:sz w:val="24"/>
          <w:szCs w:val="24"/>
          <w:lang w:val="ro-RO"/>
        </w:rPr>
      </w:pPr>
      <w:r w:rsidRPr="00003EBE">
        <w:rPr>
          <w:rFonts w:ascii="Times New Roman" w:hAnsi="Times New Roman" w:cs="Times New Roman"/>
          <w:bCs/>
          <w:sz w:val="24"/>
          <w:szCs w:val="24"/>
          <w:lang w:val="ro-RO"/>
        </w:rPr>
        <w:t xml:space="preserve">Participarea dlui senator Daniel Claudiu Catană la Gala și </w:t>
      </w:r>
      <w:proofErr w:type="spellStart"/>
      <w:r w:rsidRPr="00003EBE">
        <w:rPr>
          <w:rFonts w:ascii="Times New Roman" w:hAnsi="Times New Roman" w:cs="Times New Roman"/>
          <w:bCs/>
          <w:sz w:val="24"/>
          <w:szCs w:val="24"/>
          <w:lang w:val="ro-RO"/>
        </w:rPr>
        <w:t>Summitul</w:t>
      </w:r>
      <w:proofErr w:type="spellEnd"/>
      <w:r w:rsidRPr="00003EBE">
        <w:rPr>
          <w:rFonts w:ascii="Times New Roman" w:hAnsi="Times New Roman" w:cs="Times New Roman"/>
          <w:bCs/>
          <w:sz w:val="24"/>
          <w:szCs w:val="24"/>
          <w:lang w:val="ro-RO"/>
        </w:rPr>
        <w:t xml:space="preserve"> Alianța 2025 (Washington D.C., 11-12 decembrie 2025).</w:t>
      </w:r>
      <w:r w:rsidR="00C17CE3" w:rsidRPr="00C17CE3">
        <w:rPr>
          <w:rFonts w:ascii="Times New Roman" w:hAnsi="Times New Roman" w:cs="Times New Roman"/>
          <w:bCs/>
          <w:sz w:val="24"/>
          <w:szCs w:val="24"/>
          <w:lang w:val="ro-RO"/>
        </w:rPr>
        <w:t>.</w:t>
      </w:r>
    </w:p>
    <w:p w14:paraId="566F30C4" w14:textId="07BD08F9" w:rsidR="006871F2" w:rsidRPr="00071E16" w:rsidRDefault="006871F2" w:rsidP="006871F2">
      <w:pPr>
        <w:pStyle w:val="Style2"/>
        <w:spacing w:after="0"/>
        <w:ind w:left="624"/>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Ședința Comisiei a fost declarată închisă de către domnul senator Titus CORLĂȚEAN,</w:t>
      </w:r>
    </w:p>
    <w:p w14:paraId="11625C48" w14:textId="2C6553DF" w:rsidR="008068A2" w:rsidRPr="00003EBE" w:rsidRDefault="006871F2" w:rsidP="00003EBE">
      <w:pPr>
        <w:pStyle w:val="Style2"/>
        <w:spacing w:after="240" w:line="240" w:lineRule="auto"/>
        <w:ind w:left="624" w:firstLine="0"/>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președintele Comisiei pentru politică externă.</w:t>
      </w:r>
    </w:p>
    <w:sectPr w:rsidR="008068A2" w:rsidRPr="00003EBE" w:rsidSect="00842797">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D273" w14:textId="77777777" w:rsidR="00837940" w:rsidRDefault="00837940">
      <w:r>
        <w:separator/>
      </w:r>
    </w:p>
  </w:endnote>
  <w:endnote w:type="continuationSeparator" w:id="0">
    <w:p w14:paraId="7D52CD13" w14:textId="77777777" w:rsidR="00837940" w:rsidRDefault="0083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9246" w14:textId="77777777" w:rsidR="00895F10" w:rsidRDefault="00000000">
    <w:pPr>
      <w:pStyle w:val="Footer"/>
      <w:tabs>
        <w:tab w:val="clear" w:pos="9360"/>
        <w:tab w:val="right" w:pos="9340"/>
      </w:tabs>
      <w:jc w:val="center"/>
    </w:pP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E89C" w14:textId="77777777" w:rsidR="00837940" w:rsidRDefault="00837940">
      <w:r>
        <w:separator/>
      </w:r>
    </w:p>
  </w:footnote>
  <w:footnote w:type="continuationSeparator" w:id="0">
    <w:p w14:paraId="2AFF8D31" w14:textId="77777777" w:rsidR="00837940" w:rsidRDefault="0083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F504" w14:textId="77777777" w:rsidR="00895F10" w:rsidRDefault="00895F10">
    <w:pPr>
      <w:pStyle w:val="Antetisubsol"/>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8FD"/>
    <w:multiLevelType w:val="hybridMultilevel"/>
    <w:tmpl w:val="A192F95A"/>
    <w:lvl w:ilvl="0" w:tplc="8A684940">
      <w:start w:val="1"/>
      <w:numFmt w:val="decimal"/>
      <w:lvlText w:val="%1."/>
      <w:lvlJc w:val="left"/>
      <w:pPr>
        <w:ind w:left="984" w:hanging="360"/>
      </w:pPr>
      <w:rPr>
        <w:rFonts w:cs="Times New Roman"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15:restartNumberingAfterBreak="0">
    <w:nsid w:val="0B365B5B"/>
    <w:multiLevelType w:val="hybridMultilevel"/>
    <w:tmpl w:val="372C1204"/>
    <w:lvl w:ilvl="0" w:tplc="C0228246">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13F5400A"/>
    <w:multiLevelType w:val="hybridMultilevel"/>
    <w:tmpl w:val="2D4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0D6D"/>
    <w:multiLevelType w:val="hybridMultilevel"/>
    <w:tmpl w:val="4CFA718A"/>
    <w:lvl w:ilvl="0" w:tplc="0162676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216A2419"/>
    <w:multiLevelType w:val="hybridMultilevel"/>
    <w:tmpl w:val="3EBE4D32"/>
    <w:lvl w:ilvl="0" w:tplc="438248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54347C9"/>
    <w:multiLevelType w:val="hybridMultilevel"/>
    <w:tmpl w:val="7A4AEE3E"/>
    <w:lvl w:ilvl="0" w:tplc="836E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840271"/>
    <w:multiLevelType w:val="hybridMultilevel"/>
    <w:tmpl w:val="DAB8858E"/>
    <w:lvl w:ilvl="0" w:tplc="A68823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D106E"/>
    <w:multiLevelType w:val="hybridMultilevel"/>
    <w:tmpl w:val="222C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75C30"/>
    <w:multiLevelType w:val="hybridMultilevel"/>
    <w:tmpl w:val="7AEAC9CE"/>
    <w:lvl w:ilvl="0" w:tplc="20B62E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00521"/>
    <w:multiLevelType w:val="hybridMultilevel"/>
    <w:tmpl w:val="45FE7E3A"/>
    <w:lvl w:ilvl="0" w:tplc="E3664F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8239C"/>
    <w:multiLevelType w:val="hybridMultilevel"/>
    <w:tmpl w:val="6A98E064"/>
    <w:lvl w:ilvl="0" w:tplc="DF02D454">
      <w:start w:val="1"/>
      <w:numFmt w:val="low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AA808AB"/>
    <w:multiLevelType w:val="hybridMultilevel"/>
    <w:tmpl w:val="21529AC2"/>
    <w:lvl w:ilvl="0" w:tplc="25BAA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544ED"/>
    <w:multiLevelType w:val="hybridMultilevel"/>
    <w:tmpl w:val="92F08860"/>
    <w:lvl w:ilvl="0" w:tplc="C2F81F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F7839"/>
    <w:multiLevelType w:val="hybridMultilevel"/>
    <w:tmpl w:val="21A66828"/>
    <w:lvl w:ilvl="0" w:tplc="C8EED0D0">
      <w:start w:val="1"/>
      <w:numFmt w:val="upperRoman"/>
      <w:lvlText w:val="%1."/>
      <w:lvlJc w:val="left"/>
      <w:pPr>
        <w:ind w:left="1344" w:hanging="720"/>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4" w15:restartNumberingAfterBreak="0">
    <w:nsid w:val="5019213A"/>
    <w:multiLevelType w:val="hybridMultilevel"/>
    <w:tmpl w:val="F446C254"/>
    <w:lvl w:ilvl="0" w:tplc="ADFAD708">
      <w:start w:val="1"/>
      <w:numFmt w:val="decimal"/>
      <w:lvlText w:val="%1."/>
      <w:lvlJc w:val="left"/>
      <w:pPr>
        <w:ind w:left="1080" w:hanging="36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687ABD"/>
    <w:multiLevelType w:val="hybridMultilevel"/>
    <w:tmpl w:val="605AC368"/>
    <w:lvl w:ilvl="0" w:tplc="E910BD44">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6" w15:restartNumberingAfterBreak="0">
    <w:nsid w:val="51B41AA7"/>
    <w:multiLevelType w:val="hybridMultilevel"/>
    <w:tmpl w:val="B7EA2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47BE6"/>
    <w:multiLevelType w:val="hybridMultilevel"/>
    <w:tmpl w:val="9970D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8F5111"/>
    <w:multiLevelType w:val="hybridMultilevel"/>
    <w:tmpl w:val="52723FB4"/>
    <w:lvl w:ilvl="0" w:tplc="BD3632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95E33"/>
    <w:multiLevelType w:val="hybridMultilevel"/>
    <w:tmpl w:val="2772BA58"/>
    <w:lvl w:ilvl="0" w:tplc="CED42E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482463"/>
    <w:multiLevelType w:val="hybridMultilevel"/>
    <w:tmpl w:val="4458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1063A"/>
    <w:multiLevelType w:val="hybridMultilevel"/>
    <w:tmpl w:val="805AA272"/>
    <w:lvl w:ilvl="0" w:tplc="AB4E39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5600A8"/>
    <w:multiLevelType w:val="hybridMultilevel"/>
    <w:tmpl w:val="E98E7E9E"/>
    <w:lvl w:ilvl="0" w:tplc="064A9FC0">
      <w:start w:val="1"/>
      <w:numFmt w:val="decimal"/>
      <w:lvlText w:val="%1."/>
      <w:lvlJc w:val="left"/>
      <w:pPr>
        <w:ind w:left="930" w:hanging="360"/>
      </w:pPr>
      <w:rPr>
        <w:rFonts w:cs="Times New Roma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15:restartNumberingAfterBreak="0">
    <w:nsid w:val="7DEE7779"/>
    <w:multiLevelType w:val="hybridMultilevel"/>
    <w:tmpl w:val="7786C3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51888467">
    <w:abstractNumId w:val="13"/>
  </w:num>
  <w:num w:numId="2" w16cid:durableId="1214317744">
    <w:abstractNumId w:val="10"/>
  </w:num>
  <w:num w:numId="3" w16cid:durableId="380906007">
    <w:abstractNumId w:val="2"/>
  </w:num>
  <w:num w:numId="4" w16cid:durableId="2024896848">
    <w:abstractNumId w:val="17"/>
  </w:num>
  <w:num w:numId="5" w16cid:durableId="881752974">
    <w:abstractNumId w:val="16"/>
  </w:num>
  <w:num w:numId="6" w16cid:durableId="1553737834">
    <w:abstractNumId w:val="7"/>
  </w:num>
  <w:num w:numId="7" w16cid:durableId="1967615689">
    <w:abstractNumId w:val="19"/>
  </w:num>
  <w:num w:numId="8" w16cid:durableId="1604387078">
    <w:abstractNumId w:val="20"/>
  </w:num>
  <w:num w:numId="9" w16cid:durableId="1095519222">
    <w:abstractNumId w:val="6"/>
  </w:num>
  <w:num w:numId="10" w16cid:durableId="971137709">
    <w:abstractNumId w:val="21"/>
  </w:num>
  <w:num w:numId="11" w16cid:durableId="1994412233">
    <w:abstractNumId w:val="23"/>
  </w:num>
  <w:num w:numId="12" w16cid:durableId="1988778429">
    <w:abstractNumId w:val="12"/>
  </w:num>
  <w:num w:numId="13" w16cid:durableId="910458004">
    <w:abstractNumId w:val="8"/>
  </w:num>
  <w:num w:numId="14" w16cid:durableId="1006858963">
    <w:abstractNumId w:val="18"/>
  </w:num>
  <w:num w:numId="15" w16cid:durableId="637875495">
    <w:abstractNumId w:val="1"/>
  </w:num>
  <w:num w:numId="16" w16cid:durableId="1824809399">
    <w:abstractNumId w:val="9"/>
  </w:num>
  <w:num w:numId="17" w16cid:durableId="153961803">
    <w:abstractNumId w:val="11"/>
  </w:num>
  <w:num w:numId="18" w16cid:durableId="359169617">
    <w:abstractNumId w:val="0"/>
  </w:num>
  <w:num w:numId="19" w16cid:durableId="2146963156">
    <w:abstractNumId w:val="3"/>
  </w:num>
  <w:num w:numId="20" w16cid:durableId="1792943417">
    <w:abstractNumId w:val="5"/>
  </w:num>
  <w:num w:numId="21" w16cid:durableId="564605295">
    <w:abstractNumId w:val="14"/>
  </w:num>
  <w:num w:numId="22" w16cid:durableId="1053700348">
    <w:abstractNumId w:val="15"/>
  </w:num>
  <w:num w:numId="23" w16cid:durableId="1177185864">
    <w:abstractNumId w:val="22"/>
  </w:num>
  <w:num w:numId="24" w16cid:durableId="1702584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97"/>
    <w:rsid w:val="00003EBE"/>
    <w:rsid w:val="00005F3F"/>
    <w:rsid w:val="000176A0"/>
    <w:rsid w:val="000319CD"/>
    <w:rsid w:val="0003504E"/>
    <w:rsid w:val="00036232"/>
    <w:rsid w:val="00071E16"/>
    <w:rsid w:val="000900A5"/>
    <w:rsid w:val="00095C58"/>
    <w:rsid w:val="000A786C"/>
    <w:rsid w:val="000B1ACD"/>
    <w:rsid w:val="000C1459"/>
    <w:rsid w:val="000D0093"/>
    <w:rsid w:val="000D0CE4"/>
    <w:rsid w:val="000E45DC"/>
    <w:rsid w:val="000E5934"/>
    <w:rsid w:val="000F3EF5"/>
    <w:rsid w:val="000F53EC"/>
    <w:rsid w:val="00147EDE"/>
    <w:rsid w:val="00157632"/>
    <w:rsid w:val="001622F1"/>
    <w:rsid w:val="00173BF3"/>
    <w:rsid w:val="00197BB6"/>
    <w:rsid w:val="001A077B"/>
    <w:rsid w:val="001A2912"/>
    <w:rsid w:val="001A4A8D"/>
    <w:rsid w:val="001B2D35"/>
    <w:rsid w:val="001C07F7"/>
    <w:rsid w:val="001C5446"/>
    <w:rsid w:val="001C7B62"/>
    <w:rsid w:val="001D3731"/>
    <w:rsid w:val="001E23BF"/>
    <w:rsid w:val="001E3BCF"/>
    <w:rsid w:val="001E6234"/>
    <w:rsid w:val="0020217E"/>
    <w:rsid w:val="0021078E"/>
    <w:rsid w:val="00210F98"/>
    <w:rsid w:val="002249C1"/>
    <w:rsid w:val="002326A0"/>
    <w:rsid w:val="00233C62"/>
    <w:rsid w:val="002367E3"/>
    <w:rsid w:val="00243600"/>
    <w:rsid w:val="00244941"/>
    <w:rsid w:val="00245242"/>
    <w:rsid w:val="00260533"/>
    <w:rsid w:val="00296E89"/>
    <w:rsid w:val="002D0ACC"/>
    <w:rsid w:val="002E1020"/>
    <w:rsid w:val="002F06DA"/>
    <w:rsid w:val="002F269F"/>
    <w:rsid w:val="002F286C"/>
    <w:rsid w:val="0030003C"/>
    <w:rsid w:val="003151A2"/>
    <w:rsid w:val="00324DA4"/>
    <w:rsid w:val="00332E02"/>
    <w:rsid w:val="003374B8"/>
    <w:rsid w:val="00390415"/>
    <w:rsid w:val="00396588"/>
    <w:rsid w:val="003A7DCD"/>
    <w:rsid w:val="003B4F7B"/>
    <w:rsid w:val="003B660A"/>
    <w:rsid w:val="003C78AB"/>
    <w:rsid w:val="003E0B05"/>
    <w:rsid w:val="003F1453"/>
    <w:rsid w:val="003F27E8"/>
    <w:rsid w:val="0040461A"/>
    <w:rsid w:val="004048C8"/>
    <w:rsid w:val="00420149"/>
    <w:rsid w:val="00432A3A"/>
    <w:rsid w:val="00445E0E"/>
    <w:rsid w:val="004528D3"/>
    <w:rsid w:val="00452ED6"/>
    <w:rsid w:val="00462544"/>
    <w:rsid w:val="004777A1"/>
    <w:rsid w:val="004B4EB5"/>
    <w:rsid w:val="004C2A43"/>
    <w:rsid w:val="004C7835"/>
    <w:rsid w:val="004F08B3"/>
    <w:rsid w:val="00501AE6"/>
    <w:rsid w:val="00513ABC"/>
    <w:rsid w:val="005155D9"/>
    <w:rsid w:val="00520D2C"/>
    <w:rsid w:val="00534F8C"/>
    <w:rsid w:val="00542571"/>
    <w:rsid w:val="00542CC8"/>
    <w:rsid w:val="005448E8"/>
    <w:rsid w:val="005520BA"/>
    <w:rsid w:val="00553174"/>
    <w:rsid w:val="00586C25"/>
    <w:rsid w:val="00587E7C"/>
    <w:rsid w:val="00595F76"/>
    <w:rsid w:val="005A3887"/>
    <w:rsid w:val="005C2260"/>
    <w:rsid w:val="005C49AB"/>
    <w:rsid w:val="005E2C13"/>
    <w:rsid w:val="005E427F"/>
    <w:rsid w:val="005E70B2"/>
    <w:rsid w:val="00614F3A"/>
    <w:rsid w:val="00620285"/>
    <w:rsid w:val="00621FC2"/>
    <w:rsid w:val="00641E1E"/>
    <w:rsid w:val="00650B37"/>
    <w:rsid w:val="00656D0B"/>
    <w:rsid w:val="006652F1"/>
    <w:rsid w:val="00681511"/>
    <w:rsid w:val="0068595A"/>
    <w:rsid w:val="006871F2"/>
    <w:rsid w:val="00694EC6"/>
    <w:rsid w:val="006A2B3B"/>
    <w:rsid w:val="006A5E33"/>
    <w:rsid w:val="006B02DB"/>
    <w:rsid w:val="006B045F"/>
    <w:rsid w:val="006B181F"/>
    <w:rsid w:val="006B20C8"/>
    <w:rsid w:val="006C707E"/>
    <w:rsid w:val="006E4365"/>
    <w:rsid w:val="006E5348"/>
    <w:rsid w:val="006F2179"/>
    <w:rsid w:val="006F62C9"/>
    <w:rsid w:val="006F6FD8"/>
    <w:rsid w:val="006F7A8A"/>
    <w:rsid w:val="00721C58"/>
    <w:rsid w:val="00721D69"/>
    <w:rsid w:val="007263FE"/>
    <w:rsid w:val="00741BAC"/>
    <w:rsid w:val="00743BC9"/>
    <w:rsid w:val="007522F7"/>
    <w:rsid w:val="00766A1C"/>
    <w:rsid w:val="0078370F"/>
    <w:rsid w:val="007924A2"/>
    <w:rsid w:val="00793E39"/>
    <w:rsid w:val="007A0339"/>
    <w:rsid w:val="007A2EBF"/>
    <w:rsid w:val="007A389E"/>
    <w:rsid w:val="007A6874"/>
    <w:rsid w:val="007B66B5"/>
    <w:rsid w:val="007C5005"/>
    <w:rsid w:val="007C75E9"/>
    <w:rsid w:val="007E7338"/>
    <w:rsid w:val="007F399A"/>
    <w:rsid w:val="008068A2"/>
    <w:rsid w:val="00817A94"/>
    <w:rsid w:val="00820C7D"/>
    <w:rsid w:val="0083555E"/>
    <w:rsid w:val="00837940"/>
    <w:rsid w:val="00842797"/>
    <w:rsid w:val="0084296D"/>
    <w:rsid w:val="00853E75"/>
    <w:rsid w:val="00855956"/>
    <w:rsid w:val="008624EA"/>
    <w:rsid w:val="008658F1"/>
    <w:rsid w:val="008825DC"/>
    <w:rsid w:val="00895F10"/>
    <w:rsid w:val="008A1DA9"/>
    <w:rsid w:val="008B5A5E"/>
    <w:rsid w:val="008F1723"/>
    <w:rsid w:val="008F5A63"/>
    <w:rsid w:val="00902F39"/>
    <w:rsid w:val="00923A63"/>
    <w:rsid w:val="00946BDB"/>
    <w:rsid w:val="00961797"/>
    <w:rsid w:val="00962410"/>
    <w:rsid w:val="009740C6"/>
    <w:rsid w:val="00975756"/>
    <w:rsid w:val="009825C7"/>
    <w:rsid w:val="0099379A"/>
    <w:rsid w:val="009948E8"/>
    <w:rsid w:val="009C03F3"/>
    <w:rsid w:val="009C29D0"/>
    <w:rsid w:val="009D5F86"/>
    <w:rsid w:val="009E0B79"/>
    <w:rsid w:val="009E2A83"/>
    <w:rsid w:val="009F5B06"/>
    <w:rsid w:val="00A00BD3"/>
    <w:rsid w:val="00A0137F"/>
    <w:rsid w:val="00A06CC4"/>
    <w:rsid w:val="00A11CA8"/>
    <w:rsid w:val="00A12F01"/>
    <w:rsid w:val="00A150B7"/>
    <w:rsid w:val="00A15541"/>
    <w:rsid w:val="00A43D99"/>
    <w:rsid w:val="00A55E9F"/>
    <w:rsid w:val="00A60112"/>
    <w:rsid w:val="00A6279E"/>
    <w:rsid w:val="00A73BBB"/>
    <w:rsid w:val="00A74711"/>
    <w:rsid w:val="00A8193A"/>
    <w:rsid w:val="00A90D14"/>
    <w:rsid w:val="00A90D4A"/>
    <w:rsid w:val="00A934C6"/>
    <w:rsid w:val="00A9546B"/>
    <w:rsid w:val="00AA7D40"/>
    <w:rsid w:val="00AB1837"/>
    <w:rsid w:val="00AD066C"/>
    <w:rsid w:val="00AE23EA"/>
    <w:rsid w:val="00AE579A"/>
    <w:rsid w:val="00B04EA7"/>
    <w:rsid w:val="00B07266"/>
    <w:rsid w:val="00B07D18"/>
    <w:rsid w:val="00B300FC"/>
    <w:rsid w:val="00B33E7D"/>
    <w:rsid w:val="00B53B77"/>
    <w:rsid w:val="00B63537"/>
    <w:rsid w:val="00B65C32"/>
    <w:rsid w:val="00B80EEA"/>
    <w:rsid w:val="00B97404"/>
    <w:rsid w:val="00BC643A"/>
    <w:rsid w:val="00BD3D8D"/>
    <w:rsid w:val="00BE4AA4"/>
    <w:rsid w:val="00BE63CE"/>
    <w:rsid w:val="00BF080D"/>
    <w:rsid w:val="00C0004E"/>
    <w:rsid w:val="00C17CE3"/>
    <w:rsid w:val="00C24BF7"/>
    <w:rsid w:val="00C33344"/>
    <w:rsid w:val="00C4566A"/>
    <w:rsid w:val="00C651B0"/>
    <w:rsid w:val="00C776FF"/>
    <w:rsid w:val="00C903F5"/>
    <w:rsid w:val="00C966DE"/>
    <w:rsid w:val="00CB348E"/>
    <w:rsid w:val="00CD290A"/>
    <w:rsid w:val="00CD605F"/>
    <w:rsid w:val="00CF2EAC"/>
    <w:rsid w:val="00D22C7F"/>
    <w:rsid w:val="00D3477A"/>
    <w:rsid w:val="00D44BC0"/>
    <w:rsid w:val="00D645AC"/>
    <w:rsid w:val="00D91174"/>
    <w:rsid w:val="00DB389D"/>
    <w:rsid w:val="00DB4B5A"/>
    <w:rsid w:val="00DB4BC4"/>
    <w:rsid w:val="00DD018D"/>
    <w:rsid w:val="00E0059A"/>
    <w:rsid w:val="00E23589"/>
    <w:rsid w:val="00E31CFA"/>
    <w:rsid w:val="00E33F5F"/>
    <w:rsid w:val="00E466FE"/>
    <w:rsid w:val="00E55751"/>
    <w:rsid w:val="00E65F44"/>
    <w:rsid w:val="00E67C36"/>
    <w:rsid w:val="00EA3607"/>
    <w:rsid w:val="00EB377A"/>
    <w:rsid w:val="00EE5F28"/>
    <w:rsid w:val="00EF4ED0"/>
    <w:rsid w:val="00F00D87"/>
    <w:rsid w:val="00F12E92"/>
    <w:rsid w:val="00F23996"/>
    <w:rsid w:val="00F30247"/>
    <w:rsid w:val="00F3372D"/>
    <w:rsid w:val="00F4108F"/>
    <w:rsid w:val="00F62759"/>
    <w:rsid w:val="00F63C16"/>
    <w:rsid w:val="00F661F7"/>
    <w:rsid w:val="00FA0AEC"/>
    <w:rsid w:val="00FB1056"/>
    <w:rsid w:val="00FC6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7682"/>
  <w15:chartTrackingRefBased/>
  <w15:docId w15:val="{87239DC8-CA63-4B4C-A0F9-D3376E7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797"/>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8427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27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27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27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27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27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7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7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7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7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27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27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27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27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2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797"/>
    <w:rPr>
      <w:rFonts w:eastAsiaTheme="majorEastAsia" w:cstheme="majorBidi"/>
      <w:color w:val="272727" w:themeColor="text1" w:themeTint="D8"/>
    </w:rPr>
  </w:style>
  <w:style w:type="paragraph" w:styleId="Title">
    <w:name w:val="Title"/>
    <w:basedOn w:val="Normal"/>
    <w:next w:val="Normal"/>
    <w:link w:val="TitleChar"/>
    <w:uiPriority w:val="10"/>
    <w:qFormat/>
    <w:rsid w:val="008427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797"/>
    <w:pPr>
      <w:spacing w:before="160"/>
      <w:jc w:val="center"/>
    </w:pPr>
    <w:rPr>
      <w:i/>
      <w:iCs/>
      <w:color w:val="404040" w:themeColor="text1" w:themeTint="BF"/>
    </w:rPr>
  </w:style>
  <w:style w:type="character" w:customStyle="1" w:styleId="QuoteChar">
    <w:name w:val="Quote Char"/>
    <w:basedOn w:val="DefaultParagraphFont"/>
    <w:link w:val="Quote"/>
    <w:uiPriority w:val="29"/>
    <w:rsid w:val="00842797"/>
    <w:rPr>
      <w:i/>
      <w:iCs/>
      <w:color w:val="404040" w:themeColor="text1" w:themeTint="BF"/>
    </w:rPr>
  </w:style>
  <w:style w:type="paragraph" w:styleId="ListParagraph">
    <w:name w:val="List Paragraph"/>
    <w:basedOn w:val="Normal"/>
    <w:uiPriority w:val="34"/>
    <w:qFormat/>
    <w:rsid w:val="00842797"/>
    <w:pPr>
      <w:ind w:left="720"/>
      <w:contextualSpacing/>
    </w:pPr>
  </w:style>
  <w:style w:type="character" w:styleId="IntenseEmphasis">
    <w:name w:val="Intense Emphasis"/>
    <w:basedOn w:val="DefaultParagraphFont"/>
    <w:uiPriority w:val="21"/>
    <w:qFormat/>
    <w:rsid w:val="00842797"/>
    <w:rPr>
      <w:i/>
      <w:iCs/>
      <w:color w:val="2F5496" w:themeColor="accent1" w:themeShade="BF"/>
    </w:rPr>
  </w:style>
  <w:style w:type="paragraph" w:styleId="IntenseQuote">
    <w:name w:val="Intense Quote"/>
    <w:basedOn w:val="Normal"/>
    <w:next w:val="Normal"/>
    <w:link w:val="IntenseQuoteChar"/>
    <w:uiPriority w:val="30"/>
    <w:qFormat/>
    <w:rsid w:val="00842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2797"/>
    <w:rPr>
      <w:i/>
      <w:iCs/>
      <w:color w:val="2F5496" w:themeColor="accent1" w:themeShade="BF"/>
    </w:rPr>
  </w:style>
  <w:style w:type="character" w:styleId="IntenseReference">
    <w:name w:val="Intense Reference"/>
    <w:basedOn w:val="DefaultParagraphFont"/>
    <w:uiPriority w:val="32"/>
    <w:qFormat/>
    <w:rsid w:val="00842797"/>
    <w:rPr>
      <w:b/>
      <w:bCs/>
      <w:smallCaps/>
      <w:color w:val="2F5496" w:themeColor="accent1" w:themeShade="BF"/>
      <w:spacing w:val="5"/>
    </w:rPr>
  </w:style>
  <w:style w:type="paragraph" w:customStyle="1" w:styleId="Antetisubsol">
    <w:name w:val="Antet și subsol"/>
    <w:rsid w:val="0084279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GB"/>
      <w14:textOutline w14:w="0" w14:cap="flat" w14:cmpd="sng" w14:algn="ctr">
        <w14:noFill/>
        <w14:prstDash w14:val="solid"/>
        <w14:bevel/>
      </w14:textOutline>
      <w14:ligatures w14:val="none"/>
    </w:rPr>
  </w:style>
  <w:style w:type="paragraph" w:styleId="Footer">
    <w:name w:val="footer"/>
    <w:link w:val="FooterChar"/>
    <w:rsid w:val="00842797"/>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u w:color="000000"/>
      <w:bdr w:val="nil"/>
      <w:lang w:val="en-US" w:eastAsia="en-GB"/>
      <w14:ligatures w14:val="none"/>
    </w:rPr>
  </w:style>
  <w:style w:type="character" w:customStyle="1" w:styleId="FooterChar">
    <w:name w:val="Footer Char"/>
    <w:basedOn w:val="DefaultParagraphFont"/>
    <w:link w:val="Footer"/>
    <w:rsid w:val="00842797"/>
    <w:rPr>
      <w:rFonts w:ascii="Calibri" w:eastAsia="Arial Unicode MS" w:hAnsi="Calibri" w:cs="Arial Unicode MS"/>
      <w:color w:val="000000"/>
      <w:kern w:val="0"/>
      <w:u w:color="000000"/>
      <w:bdr w:val="nil"/>
      <w:lang w:val="en-US" w:eastAsia="en-GB"/>
      <w14:ligatures w14:val="none"/>
    </w:rPr>
  </w:style>
  <w:style w:type="paragraph" w:customStyle="1" w:styleId="Corp">
    <w:name w:val="Corp"/>
    <w:rsid w:val="00842797"/>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eastAsia="en-GB"/>
      <w14:textOutline w14:w="0" w14:cap="flat" w14:cmpd="sng" w14:algn="ctr">
        <w14:noFill/>
        <w14:prstDash w14:val="solid"/>
        <w14:bevel/>
      </w14:textOutline>
      <w14:ligatures w14:val="none"/>
    </w:rPr>
  </w:style>
  <w:style w:type="paragraph" w:customStyle="1" w:styleId="Text1">
    <w:name w:val="Text 1"/>
    <w:basedOn w:val="Normal"/>
    <w:rsid w:val="003965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jc w:val="both"/>
    </w:pPr>
    <w:rPr>
      <w:rFonts w:eastAsia="Times New Roman"/>
      <w:szCs w:val="22"/>
      <w:bdr w:val="none" w:sz="0" w:space="0" w:color="auto"/>
      <w:lang w:val="ro-RO" w:eastAsia="ro-RO" w:bidi="ro-RO"/>
    </w:rPr>
  </w:style>
  <w:style w:type="paragraph" w:customStyle="1" w:styleId="ManualHeading2">
    <w:name w:val="Manual Heading 2"/>
    <w:basedOn w:val="Normal"/>
    <w:next w:val="Text1"/>
    <w:rsid w:val="0039658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850"/>
      </w:tabs>
      <w:spacing w:before="120" w:after="120"/>
      <w:ind w:left="850" w:hanging="850"/>
      <w:jc w:val="both"/>
      <w:outlineLvl w:val="1"/>
    </w:pPr>
    <w:rPr>
      <w:rFonts w:eastAsia="Calibri"/>
      <w:b/>
      <w:szCs w:val="22"/>
      <w:bdr w:val="none" w:sz="0" w:space="0" w:color="auto"/>
      <w:lang w:val="ro-RO" w:eastAsia="ro-RO" w:bidi="ro-RO"/>
    </w:rPr>
  </w:style>
  <w:style w:type="character" w:customStyle="1" w:styleId="CharStyle3">
    <w:name w:val="Char Style 3"/>
    <w:basedOn w:val="DefaultParagraphFont"/>
    <w:link w:val="Style2"/>
    <w:rsid w:val="00A00BD3"/>
  </w:style>
  <w:style w:type="paragraph" w:customStyle="1" w:styleId="Style2">
    <w:name w:val="Style 2"/>
    <w:basedOn w:val="Normal"/>
    <w:link w:val="CharStyle3"/>
    <w:rsid w:val="00A00BD3"/>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600" w:line="374" w:lineRule="auto"/>
      <w:ind w:firstLine="350"/>
    </w:pPr>
    <w:rPr>
      <w:rFonts w:asciiTheme="minorHAnsi" w:eastAsiaTheme="minorHAnsi" w:hAnsiTheme="minorHAnsi" w:cstheme="minorBidi"/>
      <w:kern w:val="2"/>
      <w:sz w:val="22"/>
      <w:szCs w:val="22"/>
      <w:bdr w:val="none" w:sz="0" w:space="0" w:color="auto"/>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DD0F3-96EC-4983-8F2B-41EAF7F7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1</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Petruta Izabela Lambrache</dc:creator>
  <cp:keywords/>
  <dc:description/>
  <cp:lastModifiedBy>Cristian Tudose</cp:lastModifiedBy>
  <cp:revision>29</cp:revision>
  <cp:lastPrinted>2025-06-19T08:53:00Z</cp:lastPrinted>
  <dcterms:created xsi:type="dcterms:W3CDTF">2025-09-01T09:30:00Z</dcterms:created>
  <dcterms:modified xsi:type="dcterms:W3CDTF">2025-11-19T13:25:00Z</dcterms:modified>
</cp:coreProperties>
</file>